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0843E" w14:textId="36CAB2CC" w:rsidR="00E600B9" w:rsidRPr="0096141A" w:rsidRDefault="00991123" w:rsidP="0096141A">
      <w:pPr>
        <w:spacing w:after="0" w:line="240" w:lineRule="auto"/>
        <w:contextualSpacing/>
        <w:mirrorIndents/>
        <w:rPr>
          <w:rFonts w:ascii="Times New Roman" w:hAnsi="Times New Roman" w:cs="Times New Roman"/>
          <w:b/>
          <w:sz w:val="24"/>
          <w:szCs w:val="24"/>
        </w:rPr>
      </w:pPr>
      <w:r w:rsidRPr="0096141A">
        <w:rPr>
          <w:rFonts w:ascii="Times New Roman" w:hAnsi="Times New Roman" w:cs="Times New Roman"/>
          <w:b/>
          <w:sz w:val="24"/>
          <w:szCs w:val="24"/>
        </w:rPr>
        <w:t xml:space="preserve">ГродМТ </w:t>
      </w:r>
      <w:r w:rsidR="00310249">
        <w:rPr>
          <w:rFonts w:ascii="Times New Roman" w:hAnsi="Times New Roman" w:cs="Times New Roman"/>
          <w:b/>
          <w:sz w:val="24"/>
          <w:szCs w:val="24"/>
        </w:rPr>
        <w:t>729</w:t>
      </w:r>
      <w:r w:rsidR="001C02F3">
        <w:rPr>
          <w:rFonts w:ascii="Times New Roman" w:hAnsi="Times New Roman" w:cs="Times New Roman"/>
          <w:b/>
          <w:sz w:val="24"/>
          <w:szCs w:val="24"/>
        </w:rPr>
        <w:t>/26</w:t>
      </w:r>
      <w:r w:rsidR="00941C4E">
        <w:rPr>
          <w:rFonts w:ascii="Times New Roman" w:hAnsi="Times New Roman" w:cs="Times New Roman"/>
          <w:b/>
          <w:sz w:val="24"/>
          <w:szCs w:val="24"/>
        </w:rPr>
        <w:t>-ЭА</w:t>
      </w:r>
      <w:r w:rsidR="00B942C7">
        <w:rPr>
          <w:rFonts w:ascii="Times New Roman" w:hAnsi="Times New Roman" w:cs="Times New Roman"/>
          <w:b/>
          <w:sz w:val="24"/>
          <w:szCs w:val="24"/>
        </w:rPr>
        <w:t xml:space="preserve">   </w:t>
      </w:r>
      <w:r w:rsidRPr="0096141A">
        <w:rPr>
          <w:rFonts w:ascii="Times New Roman" w:hAnsi="Times New Roman" w:cs="Times New Roman"/>
          <w:b/>
          <w:sz w:val="24"/>
          <w:szCs w:val="24"/>
        </w:rPr>
        <w:t xml:space="preserve">                                                                                         </w:t>
      </w:r>
      <w:r w:rsidR="00E600B9" w:rsidRPr="0096141A">
        <w:rPr>
          <w:rFonts w:ascii="Times New Roman" w:hAnsi="Times New Roman" w:cs="Times New Roman"/>
          <w:b/>
          <w:sz w:val="24"/>
          <w:szCs w:val="24"/>
        </w:rPr>
        <w:t>Приложение 1</w:t>
      </w:r>
    </w:p>
    <w:p w14:paraId="133CA9A3" w14:textId="2D5F5A87" w:rsidR="005E40A0" w:rsidRPr="0096141A" w:rsidRDefault="005E40A0" w:rsidP="0096141A">
      <w:pPr>
        <w:spacing w:after="0" w:line="240" w:lineRule="auto"/>
        <w:contextualSpacing/>
        <w:mirrorIndents/>
        <w:rPr>
          <w:rFonts w:ascii="Times New Roman" w:hAnsi="Times New Roman" w:cs="Times New Roman"/>
          <w:b/>
          <w:sz w:val="24"/>
          <w:szCs w:val="24"/>
        </w:rPr>
      </w:pPr>
    </w:p>
    <w:p w14:paraId="7B2E157B" w14:textId="1E77A0C8" w:rsidR="00991123" w:rsidRPr="0096141A" w:rsidRDefault="008762D9" w:rsidP="0096141A">
      <w:pPr>
        <w:tabs>
          <w:tab w:val="left" w:pos="6780"/>
        </w:tabs>
        <w:autoSpaceDE w:val="0"/>
        <w:autoSpaceDN w:val="0"/>
        <w:adjustRightInd w:val="0"/>
        <w:spacing w:after="0" w:line="240" w:lineRule="auto"/>
        <w:contextualSpacing/>
        <w:mirrorIndents/>
        <w:jc w:val="center"/>
        <w:rPr>
          <w:rFonts w:ascii="Times New Roman" w:hAnsi="Times New Roman" w:cs="Times New Roman"/>
          <w:b/>
          <w:sz w:val="24"/>
          <w:szCs w:val="24"/>
        </w:rPr>
      </w:pPr>
      <w:r w:rsidRPr="0096141A">
        <w:rPr>
          <w:rFonts w:ascii="Times New Roman" w:hAnsi="Times New Roman" w:cs="Times New Roman"/>
          <w:b/>
          <w:sz w:val="24"/>
          <w:szCs w:val="24"/>
        </w:rPr>
        <w:t xml:space="preserve">Технические характеристики (описание) </w:t>
      </w:r>
      <w:r w:rsidR="00991123" w:rsidRPr="0096141A">
        <w:rPr>
          <w:rFonts w:ascii="Times New Roman" w:hAnsi="Times New Roman" w:cs="Times New Roman"/>
          <w:b/>
          <w:sz w:val="24"/>
          <w:szCs w:val="24"/>
        </w:rPr>
        <w:t>изделий медицинского назначения.</w:t>
      </w:r>
    </w:p>
    <w:p w14:paraId="70B39033" w14:textId="77777777" w:rsidR="003F413B" w:rsidRDefault="003F413B" w:rsidP="00310249">
      <w:pPr>
        <w:tabs>
          <w:tab w:val="left" w:pos="6780"/>
        </w:tabs>
        <w:autoSpaceDE w:val="0"/>
        <w:autoSpaceDN w:val="0"/>
        <w:adjustRightInd w:val="0"/>
        <w:spacing w:after="0" w:line="240" w:lineRule="auto"/>
        <w:contextualSpacing/>
        <w:mirrorIndents/>
        <w:rPr>
          <w:rFonts w:ascii="Times New Roman" w:hAnsi="Times New Roman" w:cs="Times New Roman"/>
          <w:b/>
          <w:sz w:val="24"/>
          <w:szCs w:val="24"/>
        </w:rPr>
      </w:pPr>
    </w:p>
    <w:p w14:paraId="4671487E" w14:textId="77777777" w:rsidR="003F413B" w:rsidRDefault="003F413B" w:rsidP="003F413B">
      <w:pPr>
        <w:pStyle w:val="25"/>
        <w:spacing w:after="0" w:line="240" w:lineRule="auto"/>
        <w:contextualSpacing/>
        <w:jc w:val="center"/>
        <w:rPr>
          <w:rFonts w:ascii="Times New Roman" w:hAnsi="Times New Roman" w:cs="Times New Roman"/>
          <w:b/>
          <w:sz w:val="24"/>
          <w:szCs w:val="24"/>
        </w:rPr>
      </w:pPr>
      <w:bookmarkStart w:id="0" w:name="_Hlk236233346"/>
      <w:r>
        <w:rPr>
          <w:rFonts w:ascii="Times New Roman" w:hAnsi="Times New Roman" w:cs="Times New Roman"/>
          <w:b/>
          <w:sz w:val="24"/>
          <w:szCs w:val="24"/>
        </w:rPr>
        <w:t xml:space="preserve">Лот 1 Реагенты и расходные материалы для автоматических биохимических анализаторов </w:t>
      </w:r>
      <w:r>
        <w:rPr>
          <w:rFonts w:ascii="Times New Roman" w:hAnsi="Times New Roman" w:cs="Times New Roman"/>
          <w:b/>
          <w:sz w:val="24"/>
          <w:szCs w:val="24"/>
          <w:lang w:val="en-US"/>
        </w:rPr>
        <w:t>AU</w:t>
      </w:r>
      <w:r>
        <w:rPr>
          <w:rFonts w:ascii="Times New Roman" w:hAnsi="Times New Roman" w:cs="Times New Roman"/>
          <w:b/>
          <w:sz w:val="24"/>
          <w:szCs w:val="24"/>
        </w:rPr>
        <w:t>480 (</w:t>
      </w:r>
      <w:r>
        <w:rPr>
          <w:rFonts w:ascii="Times New Roman" w:hAnsi="Times New Roman" w:cs="Times New Roman"/>
          <w:b/>
          <w:sz w:val="24"/>
          <w:szCs w:val="24"/>
          <w:lang w:val="en-US"/>
        </w:rPr>
        <w:t>BeckmanCoulter</w:t>
      </w:r>
      <w:r>
        <w:rPr>
          <w:rFonts w:ascii="Times New Roman" w:hAnsi="Times New Roman" w:cs="Times New Roman"/>
          <w:b/>
          <w:sz w:val="24"/>
          <w:szCs w:val="24"/>
        </w:rPr>
        <w:t>, США)</w:t>
      </w:r>
    </w:p>
    <w:p w14:paraId="02F6E172" w14:textId="77777777" w:rsidR="003F413B" w:rsidRDefault="003F413B" w:rsidP="003F413B">
      <w:pPr>
        <w:pStyle w:val="25"/>
        <w:spacing w:after="0" w:line="240" w:lineRule="auto"/>
        <w:contextualSpacing/>
        <w:jc w:val="center"/>
        <w:rPr>
          <w:rFonts w:ascii="Times New Roman" w:hAnsi="Times New Roman" w:cs="Times New Roman"/>
          <w:b/>
          <w:sz w:val="24"/>
          <w:szCs w:val="24"/>
        </w:rPr>
      </w:pPr>
    </w:p>
    <w:tbl>
      <w:tblPr>
        <w:tblW w:w="49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866"/>
        <w:gridCol w:w="5527"/>
        <w:gridCol w:w="1276"/>
      </w:tblGrid>
      <w:tr w:rsidR="00FB1018" w14:paraId="07A56181"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hideMark/>
          </w:tcPr>
          <w:p w14:paraId="54337375"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п/п</w:t>
            </w:r>
          </w:p>
        </w:tc>
        <w:tc>
          <w:tcPr>
            <w:tcW w:w="1013" w:type="pct"/>
            <w:tcBorders>
              <w:top w:val="single" w:sz="4" w:space="0" w:color="auto"/>
              <w:left w:val="single" w:sz="4" w:space="0" w:color="auto"/>
              <w:bottom w:val="single" w:sz="4" w:space="0" w:color="auto"/>
              <w:right w:val="single" w:sz="4" w:space="0" w:color="auto"/>
            </w:tcBorders>
            <w:vAlign w:val="center"/>
            <w:hideMark/>
          </w:tcPr>
          <w:p w14:paraId="54E12D51"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3001" w:type="pct"/>
            <w:tcBorders>
              <w:top w:val="single" w:sz="4" w:space="0" w:color="auto"/>
              <w:left w:val="single" w:sz="4" w:space="0" w:color="auto"/>
              <w:bottom w:val="single" w:sz="4" w:space="0" w:color="auto"/>
              <w:right w:val="single" w:sz="4" w:space="0" w:color="auto"/>
            </w:tcBorders>
            <w:vAlign w:val="center"/>
            <w:hideMark/>
          </w:tcPr>
          <w:p w14:paraId="5D9456C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Параметры </w:t>
            </w:r>
          </w:p>
        </w:tc>
        <w:tc>
          <w:tcPr>
            <w:tcW w:w="693" w:type="pct"/>
            <w:tcBorders>
              <w:top w:val="single" w:sz="4" w:space="0" w:color="auto"/>
              <w:left w:val="single" w:sz="4" w:space="0" w:color="auto"/>
              <w:bottom w:val="single" w:sz="4" w:space="0" w:color="auto"/>
              <w:right w:val="single" w:sz="4" w:space="0" w:color="auto"/>
            </w:tcBorders>
            <w:vAlign w:val="center"/>
            <w:hideMark/>
          </w:tcPr>
          <w:p w14:paraId="1ED25F79" w14:textId="77777777" w:rsidR="003F413B" w:rsidRDefault="003F413B">
            <w:pPr>
              <w:spacing w:after="0" w:line="240" w:lineRule="auto"/>
              <w:contextualSpacing/>
              <w:jc w:val="center"/>
              <w:rPr>
                <w:rFonts w:ascii="Times New Roman" w:hAnsi="Times New Roman" w:cs="Times New Roman"/>
                <w:sz w:val="24"/>
                <w:szCs w:val="24"/>
                <w:lang w:val="en-US"/>
              </w:rPr>
            </w:pPr>
            <w:r>
              <w:rPr>
                <w:rFonts w:ascii="Times New Roman" w:hAnsi="Times New Roman" w:cs="Times New Roman"/>
                <w:sz w:val="24"/>
                <w:szCs w:val="24"/>
              </w:rPr>
              <w:t>Количество в наборах</w:t>
            </w:r>
          </w:p>
        </w:tc>
      </w:tr>
      <w:tr w:rsidR="00FB1018" w14:paraId="6AB258F3"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6E9A3C58"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2E09FBCC"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общего белка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500D967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количественное определение методом фотометрии в видимомдиапазоне с сульфатом меди;</w:t>
            </w:r>
          </w:p>
          <w:p w14:paraId="3451B5B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границане менее120 г/л;</w:t>
            </w:r>
          </w:p>
          <w:p w14:paraId="3DB4CB3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на борту анализатора не менее 21 дня;</w:t>
            </w:r>
          </w:p>
          <w:p w14:paraId="5BE54E2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06F519F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03F12D9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6. количество тестов в наборе не менее 2500, неболее 3500 </w:t>
            </w:r>
          </w:p>
        </w:tc>
        <w:tc>
          <w:tcPr>
            <w:tcW w:w="693" w:type="pct"/>
            <w:tcBorders>
              <w:top w:val="single" w:sz="4" w:space="0" w:color="auto"/>
              <w:left w:val="single" w:sz="4" w:space="0" w:color="auto"/>
              <w:bottom w:val="single" w:sz="4" w:space="0" w:color="auto"/>
              <w:right w:val="single" w:sz="4" w:space="0" w:color="auto"/>
            </w:tcBorders>
            <w:vAlign w:val="center"/>
            <w:hideMark/>
          </w:tcPr>
          <w:p w14:paraId="566E90B5"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r>
      <w:bookmarkEnd w:id="0"/>
      <w:tr w:rsidR="00FB1018" w14:paraId="66494948"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570B6361"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6AF058CD"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альбумина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218BA52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количественное определение методом фотометрии в видимом диапазоне сбромкрезоловым зеленым;</w:t>
            </w:r>
          </w:p>
          <w:p w14:paraId="054B028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60 г/л;</w:t>
            </w:r>
          </w:p>
          <w:p w14:paraId="29AC2A6B"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на борту анализатора не менее 90 дней;</w:t>
            </w:r>
          </w:p>
          <w:p w14:paraId="4CE401A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621FE85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5. реагенты должны быть расфасованы по флаконам, пригодным для прямой установки на борт анализаторов AU без необходимости </w:t>
            </w:r>
            <w:r>
              <w:rPr>
                <w:rFonts w:ascii="Times New Roman" w:hAnsi="Times New Roman" w:cs="Times New Roman"/>
                <w:sz w:val="24"/>
                <w:szCs w:val="24"/>
              </w:rPr>
              <w:lastRenderedPageBreak/>
              <w:t>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7D2028F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2000, неболее 3000</w:t>
            </w:r>
          </w:p>
        </w:tc>
        <w:tc>
          <w:tcPr>
            <w:tcW w:w="693" w:type="pct"/>
            <w:tcBorders>
              <w:top w:val="single" w:sz="4" w:space="0" w:color="auto"/>
              <w:left w:val="single" w:sz="4" w:space="0" w:color="auto"/>
              <w:bottom w:val="single" w:sz="4" w:space="0" w:color="auto"/>
              <w:right w:val="single" w:sz="4" w:space="0" w:color="auto"/>
            </w:tcBorders>
            <w:vAlign w:val="center"/>
          </w:tcPr>
          <w:p w14:paraId="55CF8442"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2</w:t>
            </w:r>
          </w:p>
          <w:p w14:paraId="1511C899" w14:textId="77777777" w:rsidR="003F413B" w:rsidRDefault="003F413B">
            <w:pPr>
              <w:spacing w:after="0" w:line="240" w:lineRule="auto"/>
              <w:contextualSpacing/>
              <w:rPr>
                <w:rFonts w:ascii="Times New Roman" w:hAnsi="Times New Roman" w:cs="Times New Roman"/>
                <w:sz w:val="24"/>
                <w:szCs w:val="24"/>
              </w:rPr>
            </w:pPr>
          </w:p>
        </w:tc>
      </w:tr>
      <w:tr w:rsidR="00FB1018" w14:paraId="708D8A01"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248D35BC"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58533A52"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Набор реагентов для определения мочевины кинетическим методом </w:t>
            </w:r>
          </w:p>
        </w:tc>
        <w:tc>
          <w:tcPr>
            <w:tcW w:w="3001" w:type="pct"/>
            <w:tcBorders>
              <w:top w:val="single" w:sz="4" w:space="0" w:color="auto"/>
              <w:left w:val="single" w:sz="4" w:space="0" w:color="auto"/>
              <w:bottom w:val="single" w:sz="4" w:space="0" w:color="auto"/>
              <w:right w:val="single" w:sz="4" w:space="0" w:color="auto"/>
            </w:tcBorders>
            <w:vAlign w:val="center"/>
            <w:hideMark/>
          </w:tcPr>
          <w:p w14:paraId="0BF1518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УФ кинетический;</w:t>
            </w:r>
          </w:p>
          <w:p w14:paraId="43D0830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50 ммоль/л;</w:t>
            </w:r>
          </w:p>
          <w:p w14:paraId="3140649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на борту не менее 30 дней;</w:t>
            </w:r>
          </w:p>
          <w:p w14:paraId="0E609B2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2B2DD368"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1814104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2000, неболее 3000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54C04E6D"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r>
      <w:tr w:rsidR="00FB1018" w14:paraId="141EB279"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00F4437A"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35CD3D38"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Набор реагентов для определения мочевой кислоты </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DB25308"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ферментативный колориметрический (уриказа-пероксидазный с аскорбатоксидазой);</w:t>
            </w:r>
          </w:p>
          <w:p w14:paraId="5D2815F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2.диапазон линейности: верхняя граница не менее 1700мкмоль/л;</w:t>
            </w:r>
          </w:p>
          <w:p w14:paraId="65E0CB6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на борту анализатора не менее 30 дней;</w:t>
            </w:r>
          </w:p>
          <w:p w14:paraId="7BE7FA3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0D7815D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w:t>
            </w:r>
            <w:r>
              <w:rPr>
                <w:rFonts w:ascii="Times New Roman" w:hAnsi="Times New Roman" w:cs="Times New Roman"/>
                <w:sz w:val="24"/>
                <w:szCs w:val="24"/>
              </w:rPr>
              <w:lastRenderedPageBreak/>
              <w:t>реализацию в анализаторе функции автоопределения;</w:t>
            </w:r>
          </w:p>
          <w:p w14:paraId="52EA693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2000, неболее 3000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05D33ED9"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8</w:t>
            </w:r>
          </w:p>
        </w:tc>
      </w:tr>
      <w:tr w:rsidR="00FB1018" w14:paraId="4B745E07"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78B182CD"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4CF3F12D"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креатинина в крови и моче</w:t>
            </w:r>
          </w:p>
        </w:tc>
        <w:tc>
          <w:tcPr>
            <w:tcW w:w="3001" w:type="pct"/>
            <w:tcBorders>
              <w:top w:val="single" w:sz="4" w:space="0" w:color="auto"/>
              <w:left w:val="single" w:sz="4" w:space="0" w:color="auto"/>
              <w:bottom w:val="single" w:sz="4" w:space="0" w:color="auto"/>
              <w:right w:val="single" w:sz="4" w:space="0" w:color="auto"/>
            </w:tcBorders>
            <w:vAlign w:val="center"/>
            <w:hideMark/>
          </w:tcPr>
          <w:p w14:paraId="45782B2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кинетический колориметрический метод Яффе;</w:t>
            </w:r>
          </w:p>
          <w:p w14:paraId="2E1D69C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2000 мкмоль/л;</w:t>
            </w:r>
          </w:p>
          <w:p w14:paraId="396F46D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7 дней;</w:t>
            </w:r>
          </w:p>
          <w:p w14:paraId="7CFC85C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7EA4486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7F7A8B0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3500, неболее 4500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1B34963D"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r>
      <w:tr w:rsidR="00FB1018" w14:paraId="442F6495"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4A481167"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49D0749C"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глюкозы гексокиназным методом в сыворотке, плазме, моче, ЦСЖ</w:t>
            </w:r>
          </w:p>
        </w:tc>
        <w:tc>
          <w:tcPr>
            <w:tcW w:w="3001" w:type="pct"/>
            <w:tcBorders>
              <w:top w:val="single" w:sz="4" w:space="0" w:color="auto"/>
              <w:left w:val="single" w:sz="4" w:space="0" w:color="auto"/>
              <w:bottom w:val="single" w:sz="4" w:space="0" w:color="auto"/>
              <w:right w:val="single" w:sz="4" w:space="0" w:color="auto"/>
            </w:tcBorders>
            <w:vAlign w:val="center"/>
            <w:hideMark/>
          </w:tcPr>
          <w:p w14:paraId="5D16567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ферментативный УФ (гексокиназный);</w:t>
            </w:r>
          </w:p>
          <w:p w14:paraId="3D01071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45,0 ммоль/л (сыворотка, плазма, ЦСЖ, моча);</w:t>
            </w:r>
          </w:p>
          <w:p w14:paraId="6B7A366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на борту не менее 30 дней;</w:t>
            </w:r>
          </w:p>
          <w:p w14:paraId="4A86E67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3444283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35C8912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2000, неболее 3000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6A75CC66"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r>
      <w:tr w:rsidR="00FB1018" w14:paraId="589E2008"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693287CF"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52910EAD"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концентрации холестерина</w:t>
            </w:r>
          </w:p>
        </w:tc>
        <w:tc>
          <w:tcPr>
            <w:tcW w:w="3001" w:type="pct"/>
            <w:tcBorders>
              <w:top w:val="single" w:sz="4" w:space="0" w:color="auto"/>
              <w:left w:val="single" w:sz="4" w:space="0" w:color="auto"/>
              <w:bottom w:val="single" w:sz="4" w:space="0" w:color="auto"/>
              <w:right w:val="single" w:sz="4" w:space="0" w:color="auto"/>
            </w:tcBorders>
            <w:hideMark/>
          </w:tcPr>
          <w:p w14:paraId="21ECF41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колориметрический ферментативный;</w:t>
            </w:r>
          </w:p>
          <w:p w14:paraId="1A5BF54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значения калибровки прослеживаются до референсного материала (SRM) 909b, (NIST) (масс-спектрометрия с изотопным разбавлением) и сертифицированы против референсного метода (Абеля-Кендалла);</w:t>
            </w:r>
          </w:p>
          <w:p w14:paraId="54DCD0F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диапазон линейности: верхняя граница не менее 18 ммоль/л;</w:t>
            </w:r>
          </w:p>
          <w:p w14:paraId="3648CA4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стабильность реагента на борту анализатора не менее 90 дней;</w:t>
            </w:r>
          </w:p>
          <w:p w14:paraId="2185C58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23F70EC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реагент должен быть расфасован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57FDC59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7. количество тестов в наборе не менее 3000, неболее 4000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3D9357DA"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r>
      <w:tr w:rsidR="00FB1018" w14:paraId="114613CE"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453FCAF1"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3B5958F1"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концентрации триглицеридов</w:t>
            </w:r>
          </w:p>
        </w:tc>
        <w:tc>
          <w:tcPr>
            <w:tcW w:w="3001" w:type="pct"/>
            <w:tcBorders>
              <w:top w:val="single" w:sz="4" w:space="0" w:color="auto"/>
              <w:left w:val="single" w:sz="4" w:space="0" w:color="auto"/>
              <w:bottom w:val="single" w:sz="4" w:space="0" w:color="auto"/>
              <w:right w:val="single" w:sz="4" w:space="0" w:color="auto"/>
            </w:tcBorders>
            <w:hideMark/>
          </w:tcPr>
          <w:p w14:paraId="6DB5E3C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колориметрический ферментативный;</w:t>
            </w:r>
          </w:p>
          <w:p w14:paraId="75F0150B"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11 ммоль/л;</w:t>
            </w:r>
          </w:p>
          <w:p w14:paraId="1664396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30 дней;</w:t>
            </w:r>
          </w:p>
          <w:p w14:paraId="1DFB591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4E94DEE8"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40383C2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3000, неболее 4000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486978A4"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w:t>
            </w:r>
          </w:p>
        </w:tc>
      </w:tr>
      <w:tr w:rsidR="00FB1018" w14:paraId="07D7262F"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487292B6"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6E7337E4"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концентрации ЛПВП холестерина</w:t>
            </w:r>
          </w:p>
        </w:tc>
        <w:tc>
          <w:tcPr>
            <w:tcW w:w="3001" w:type="pct"/>
            <w:tcBorders>
              <w:top w:val="single" w:sz="4" w:space="0" w:color="auto"/>
              <w:left w:val="single" w:sz="4" w:space="0" w:color="auto"/>
              <w:bottom w:val="single" w:sz="4" w:space="0" w:color="auto"/>
              <w:right w:val="single" w:sz="4" w:space="0" w:color="auto"/>
            </w:tcBorders>
            <w:hideMark/>
          </w:tcPr>
          <w:p w14:paraId="5534159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ферментативный колориметрический с антителами против β-липопротеидов человека;</w:t>
            </w:r>
          </w:p>
          <w:p w14:paraId="4A2E4EE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4,6 ммоль/л;</w:t>
            </w:r>
          </w:p>
          <w:p w14:paraId="6D95BB19"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30 дней;</w:t>
            </w:r>
          </w:p>
          <w:p w14:paraId="24379D5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049C557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7C88ADC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500, неболее 1000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227F4718"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6 </w:t>
            </w:r>
          </w:p>
        </w:tc>
      </w:tr>
      <w:tr w:rsidR="00FB1018" w14:paraId="48E0B794"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63E090F8"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39266744"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Калибратор ЛПВП холестерина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1546822"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предназначен для применения на анализаторах BeckmanCoulter;</w:t>
            </w:r>
          </w:p>
          <w:p w14:paraId="6E2B9E5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предназначен для совместного применения с предлагаемым реагентом;</w:t>
            </w:r>
          </w:p>
          <w:p w14:paraId="1A656B9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калибратор на основе человеческой сыворотки;</w:t>
            </w:r>
          </w:p>
          <w:p w14:paraId="3FDD0B2C"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стабильность после вскрытия не менее 30 дней;</w:t>
            </w:r>
          </w:p>
          <w:p w14:paraId="1E025AD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2 флакона объемом по не менее 3,0 мл каждый</w:t>
            </w:r>
          </w:p>
        </w:tc>
        <w:tc>
          <w:tcPr>
            <w:tcW w:w="693" w:type="pct"/>
            <w:tcBorders>
              <w:top w:val="single" w:sz="4" w:space="0" w:color="auto"/>
              <w:left w:val="single" w:sz="4" w:space="0" w:color="auto"/>
              <w:bottom w:val="single" w:sz="4" w:space="0" w:color="auto"/>
              <w:right w:val="single" w:sz="4" w:space="0" w:color="auto"/>
            </w:tcBorders>
            <w:vAlign w:val="center"/>
            <w:hideMark/>
          </w:tcPr>
          <w:p w14:paraId="5B64E637"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20</w:t>
            </w:r>
            <w:r>
              <w:rPr>
                <w:rFonts w:ascii="Times New Roman" w:hAnsi="Times New Roman" w:cs="Times New Roman"/>
                <w:sz w:val="24"/>
                <w:szCs w:val="24"/>
              </w:rPr>
              <w:t xml:space="preserve"> мл</w:t>
            </w:r>
          </w:p>
        </w:tc>
      </w:tr>
      <w:tr w:rsidR="00FB1018" w14:paraId="78273BC9"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6FEF7C4F"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5180D0D8"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концентрации аполипопротеина А1</w:t>
            </w:r>
          </w:p>
        </w:tc>
        <w:tc>
          <w:tcPr>
            <w:tcW w:w="3001" w:type="pct"/>
            <w:tcBorders>
              <w:top w:val="single" w:sz="4" w:space="0" w:color="auto"/>
              <w:left w:val="single" w:sz="4" w:space="0" w:color="auto"/>
              <w:bottom w:val="single" w:sz="4" w:space="0" w:color="auto"/>
              <w:right w:val="single" w:sz="4" w:space="0" w:color="auto"/>
            </w:tcBorders>
            <w:hideMark/>
          </w:tcPr>
          <w:p w14:paraId="55D8C8E8"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иммунотурбидиметрия;</w:t>
            </w:r>
          </w:p>
          <w:p w14:paraId="78A04F5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чем 0,4- 2,5 г/л;</w:t>
            </w:r>
          </w:p>
          <w:p w14:paraId="3910750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90 дней;</w:t>
            </w:r>
          </w:p>
          <w:p w14:paraId="47665ED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3D513B0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7051EB48"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6. количество тестов в наборе не менее 800, неболее 1200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11BC1967"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1</w:t>
            </w:r>
          </w:p>
        </w:tc>
      </w:tr>
      <w:tr w:rsidR="00FB1018" w14:paraId="68E776AD"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142D9724"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340C0324"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концентрации аполипопротеина В</w:t>
            </w:r>
          </w:p>
        </w:tc>
        <w:tc>
          <w:tcPr>
            <w:tcW w:w="3001" w:type="pct"/>
            <w:tcBorders>
              <w:top w:val="single" w:sz="4" w:space="0" w:color="auto"/>
              <w:left w:val="single" w:sz="4" w:space="0" w:color="auto"/>
              <w:bottom w:val="single" w:sz="4" w:space="0" w:color="auto"/>
              <w:right w:val="single" w:sz="4" w:space="0" w:color="auto"/>
            </w:tcBorders>
            <w:hideMark/>
          </w:tcPr>
          <w:p w14:paraId="4BE1455C"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иммунотурбидиметрия;</w:t>
            </w:r>
          </w:p>
          <w:p w14:paraId="1C2EA6A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чем 0,4- 2,0 г/л;</w:t>
            </w:r>
          </w:p>
          <w:p w14:paraId="44BB178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90 дней;</w:t>
            </w:r>
          </w:p>
          <w:p w14:paraId="5883446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3EE3140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2883513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800, неболее 1200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50D07A0F"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r>
      <w:tr w:rsidR="00FB1018" w14:paraId="27011026"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12C0B3E6"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05C24B5C"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Аполипопротеин А1 и В, калибратор</w:t>
            </w:r>
          </w:p>
        </w:tc>
        <w:tc>
          <w:tcPr>
            <w:tcW w:w="3001" w:type="pct"/>
            <w:tcBorders>
              <w:top w:val="single" w:sz="4" w:space="0" w:color="auto"/>
              <w:left w:val="single" w:sz="4" w:space="0" w:color="auto"/>
              <w:bottom w:val="single" w:sz="4" w:space="0" w:color="auto"/>
              <w:right w:val="single" w:sz="4" w:space="0" w:color="auto"/>
            </w:tcBorders>
            <w:hideMark/>
          </w:tcPr>
          <w:p w14:paraId="09D1C2D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предназначен для применения на анализаторах BeckmanCoulter;</w:t>
            </w:r>
          </w:p>
          <w:p w14:paraId="4F2D8C3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набор должен быть предназначен для применения с предложенными реагентами;</w:t>
            </w:r>
          </w:p>
          <w:p w14:paraId="21685A4B"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жидкий калибратор на основе человеческой сыворотки;</w:t>
            </w:r>
          </w:p>
          <w:p w14:paraId="3B5CB9F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стабильность после вскрытия не менее 30 дней;</w:t>
            </w:r>
          </w:p>
          <w:p w14:paraId="6F567CC9"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в состав набора должно входить не менее 5 уровней калибраторов объёмом не менее 2,0 мл каждого</w:t>
            </w:r>
          </w:p>
        </w:tc>
        <w:tc>
          <w:tcPr>
            <w:tcW w:w="693" w:type="pct"/>
            <w:tcBorders>
              <w:top w:val="single" w:sz="4" w:space="0" w:color="auto"/>
              <w:left w:val="single" w:sz="4" w:space="0" w:color="auto"/>
              <w:bottom w:val="single" w:sz="4" w:space="0" w:color="auto"/>
              <w:right w:val="single" w:sz="4" w:space="0" w:color="auto"/>
            </w:tcBorders>
            <w:vAlign w:val="center"/>
            <w:hideMark/>
          </w:tcPr>
          <w:p w14:paraId="63FE1F3B"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0 мл</w:t>
            </w:r>
          </w:p>
        </w:tc>
      </w:tr>
      <w:tr w:rsidR="00FB1018" w14:paraId="4F354CBE"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6ED542FD"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0677E52A"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Очищающий раствор для предотвращения загрязнений</w:t>
            </w:r>
          </w:p>
        </w:tc>
        <w:tc>
          <w:tcPr>
            <w:tcW w:w="3001" w:type="pct"/>
            <w:tcBorders>
              <w:top w:val="single" w:sz="4" w:space="0" w:color="auto"/>
              <w:left w:val="single" w:sz="4" w:space="0" w:color="auto"/>
              <w:bottom w:val="single" w:sz="4" w:space="0" w:color="auto"/>
              <w:right w:val="single" w:sz="4" w:space="0" w:color="auto"/>
            </w:tcBorders>
            <w:hideMark/>
          </w:tcPr>
          <w:p w14:paraId="409F3C79"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на основе куменсульфоновой кислоты;</w:t>
            </w:r>
          </w:p>
          <w:p w14:paraId="37DFBAFC"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в состав набора должно входить не менее 4 флаконов, в каждом по не более 54,0 мл</w:t>
            </w:r>
          </w:p>
        </w:tc>
        <w:tc>
          <w:tcPr>
            <w:tcW w:w="693" w:type="pct"/>
            <w:tcBorders>
              <w:top w:val="single" w:sz="4" w:space="0" w:color="auto"/>
              <w:left w:val="single" w:sz="4" w:space="0" w:color="auto"/>
              <w:bottom w:val="single" w:sz="4" w:space="0" w:color="auto"/>
              <w:right w:val="single" w:sz="4" w:space="0" w:color="auto"/>
            </w:tcBorders>
            <w:vAlign w:val="center"/>
            <w:hideMark/>
          </w:tcPr>
          <w:p w14:paraId="1D1524E6"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1</w:t>
            </w:r>
          </w:p>
        </w:tc>
      </w:tr>
      <w:tr w:rsidR="00FB1018" w14:paraId="0EC35D52" w14:textId="77777777" w:rsidTr="00FB1018">
        <w:trPr>
          <w:trHeight w:val="804"/>
          <w:jc w:val="center"/>
        </w:trPr>
        <w:tc>
          <w:tcPr>
            <w:tcW w:w="293" w:type="pct"/>
            <w:tcBorders>
              <w:top w:val="single" w:sz="4" w:space="0" w:color="auto"/>
              <w:left w:val="single" w:sz="4" w:space="0" w:color="auto"/>
              <w:bottom w:val="single" w:sz="4" w:space="0" w:color="auto"/>
              <w:right w:val="single" w:sz="4" w:space="0" w:color="auto"/>
            </w:tcBorders>
            <w:vAlign w:val="center"/>
          </w:tcPr>
          <w:p w14:paraId="4ACDEFE9"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5979A425"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активности креатинфосфокиназы (креатинкиназы) общей</w:t>
            </w:r>
          </w:p>
        </w:tc>
        <w:tc>
          <w:tcPr>
            <w:tcW w:w="3001" w:type="pct"/>
            <w:tcBorders>
              <w:top w:val="single" w:sz="4" w:space="0" w:color="auto"/>
              <w:left w:val="single" w:sz="4" w:space="0" w:color="auto"/>
              <w:bottom w:val="single" w:sz="4" w:space="0" w:color="auto"/>
              <w:right w:val="single" w:sz="4" w:space="0" w:color="auto"/>
            </w:tcBorders>
            <w:hideMark/>
          </w:tcPr>
          <w:p w14:paraId="2A9B0BD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УФ кинетический;</w:t>
            </w:r>
          </w:p>
          <w:p w14:paraId="1922F0C2"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2000 Е/л;</w:t>
            </w:r>
          </w:p>
          <w:p w14:paraId="6C7B034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30 дней;</w:t>
            </w:r>
          </w:p>
          <w:p w14:paraId="463A0C4B"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3BF66DF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5. реагенты должны быть расфасованы по флаконам, пригодным для прямой установки на </w:t>
            </w:r>
            <w:r>
              <w:rPr>
                <w:rFonts w:ascii="Times New Roman" w:hAnsi="Times New Roman" w:cs="Times New Roman"/>
                <w:sz w:val="24"/>
                <w:szCs w:val="24"/>
              </w:rPr>
              <w:lastRenderedPageBreak/>
              <w:t>борт анализаторов AU. Флаконы должны содержать штрихкоды, обеспечивающие реализацию в анализаторе функции автоопределения;</w:t>
            </w:r>
          </w:p>
          <w:p w14:paraId="77E66D7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800, неболее 1200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5E020695"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7</w:t>
            </w:r>
          </w:p>
        </w:tc>
      </w:tr>
      <w:tr w:rsidR="00FB1018" w14:paraId="54E9823C"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77DFC86F"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5F194C9F"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билирубина общего</w:t>
            </w:r>
          </w:p>
        </w:tc>
        <w:tc>
          <w:tcPr>
            <w:tcW w:w="3001" w:type="pct"/>
            <w:tcBorders>
              <w:top w:val="single" w:sz="4" w:space="0" w:color="auto"/>
              <w:left w:val="single" w:sz="4" w:space="0" w:color="auto"/>
              <w:bottom w:val="single" w:sz="4" w:space="0" w:color="auto"/>
              <w:right w:val="single" w:sz="4" w:space="0" w:color="auto"/>
            </w:tcBorders>
            <w:vAlign w:val="center"/>
            <w:hideMark/>
          </w:tcPr>
          <w:p w14:paraId="689D6B2B"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фотометрический с DPD и независимым анализом бланка пробы;</w:t>
            </w:r>
          </w:p>
          <w:p w14:paraId="7A2530A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510 мкмоль/л;</w:t>
            </w:r>
          </w:p>
          <w:p w14:paraId="7FC957C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90 дней;</w:t>
            </w:r>
          </w:p>
          <w:p w14:paraId="6A3A568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5B1620A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7AF0906B"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2000, неболее 2500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79E15792"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w:t>
            </w:r>
          </w:p>
        </w:tc>
      </w:tr>
      <w:tr w:rsidR="00FB1018" w14:paraId="52AE8E9A"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1D361DED"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4026D6AD"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билирубина прямого</w:t>
            </w:r>
          </w:p>
        </w:tc>
        <w:tc>
          <w:tcPr>
            <w:tcW w:w="3001" w:type="pct"/>
            <w:tcBorders>
              <w:top w:val="single" w:sz="4" w:space="0" w:color="auto"/>
              <w:left w:val="single" w:sz="4" w:space="0" w:color="auto"/>
              <w:bottom w:val="single" w:sz="4" w:space="0" w:color="auto"/>
              <w:right w:val="single" w:sz="4" w:space="0" w:color="auto"/>
            </w:tcBorders>
            <w:vAlign w:val="center"/>
            <w:hideMark/>
          </w:tcPr>
          <w:p w14:paraId="2D0692E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фотометрический с DPD;</w:t>
            </w:r>
          </w:p>
          <w:p w14:paraId="703F4D09"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170 мкмоль/л;</w:t>
            </w:r>
          </w:p>
          <w:p w14:paraId="477B424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21 дня;</w:t>
            </w:r>
          </w:p>
          <w:p w14:paraId="5EAAD9A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5B6C2A5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5FA21E0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800, неболее 1200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6967EAFB"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6 </w:t>
            </w:r>
          </w:p>
        </w:tc>
      </w:tr>
      <w:tr w:rsidR="00FB1018" w14:paraId="716EDC57"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0DA1879C"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08DC2119"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активности АСАТ</w:t>
            </w:r>
          </w:p>
        </w:tc>
        <w:tc>
          <w:tcPr>
            <w:tcW w:w="3001" w:type="pct"/>
            <w:tcBorders>
              <w:top w:val="single" w:sz="4" w:space="0" w:color="auto"/>
              <w:left w:val="single" w:sz="4" w:space="0" w:color="auto"/>
              <w:bottom w:val="single" w:sz="4" w:space="0" w:color="auto"/>
              <w:right w:val="single" w:sz="4" w:space="0" w:color="auto"/>
            </w:tcBorders>
            <w:hideMark/>
          </w:tcPr>
          <w:p w14:paraId="7FEE831C"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УФ кинетический с возможностью добавления пиридоксальфосфата;</w:t>
            </w:r>
          </w:p>
          <w:p w14:paraId="7C28D0D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1000 Е/л;</w:t>
            </w:r>
          </w:p>
          <w:p w14:paraId="44E1ACB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30 дней;</w:t>
            </w:r>
          </w:p>
          <w:p w14:paraId="20AAC64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5284C88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4B0D311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3500, неболее 4500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54202D18"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r>
      <w:tr w:rsidR="00FB1018" w14:paraId="6A43755D"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4507E1A7"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5A689ACF"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активности АЛАТ</w:t>
            </w:r>
          </w:p>
        </w:tc>
        <w:tc>
          <w:tcPr>
            <w:tcW w:w="3001" w:type="pct"/>
            <w:tcBorders>
              <w:top w:val="single" w:sz="4" w:space="0" w:color="auto"/>
              <w:left w:val="single" w:sz="4" w:space="0" w:color="auto"/>
              <w:bottom w:val="single" w:sz="4" w:space="0" w:color="auto"/>
              <w:right w:val="single" w:sz="4" w:space="0" w:color="auto"/>
            </w:tcBorders>
            <w:hideMark/>
          </w:tcPr>
          <w:p w14:paraId="7A07DA8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1. принцип метода – УФ кинетический с возможностью добавления пиридоксальфосфата; </w:t>
            </w:r>
          </w:p>
          <w:p w14:paraId="1A584DE2"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500 Е/л;</w:t>
            </w:r>
          </w:p>
          <w:p w14:paraId="48B097E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30 дней;</w:t>
            </w:r>
          </w:p>
          <w:p w14:paraId="39C0CA6B"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34223F9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20EF549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3500, неболее 4500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188CBD36"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5</w:t>
            </w:r>
          </w:p>
        </w:tc>
      </w:tr>
      <w:tr w:rsidR="00FB1018" w14:paraId="253E59F1"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38FA6C31"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7A1573DB"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Набор реагентов для определения </w:t>
            </w:r>
            <w:r>
              <w:rPr>
                <w:rFonts w:ascii="Times New Roman" w:hAnsi="Times New Roman" w:cs="Times New Roman"/>
                <w:sz w:val="24"/>
                <w:szCs w:val="24"/>
              </w:rPr>
              <w:lastRenderedPageBreak/>
              <w:t>активности ЛДГ</w:t>
            </w:r>
          </w:p>
        </w:tc>
        <w:tc>
          <w:tcPr>
            <w:tcW w:w="3001" w:type="pct"/>
            <w:tcBorders>
              <w:top w:val="single" w:sz="4" w:space="0" w:color="auto"/>
              <w:left w:val="single" w:sz="4" w:space="0" w:color="auto"/>
              <w:bottom w:val="single" w:sz="4" w:space="0" w:color="auto"/>
              <w:right w:val="single" w:sz="4" w:space="0" w:color="auto"/>
            </w:tcBorders>
            <w:hideMark/>
          </w:tcPr>
          <w:p w14:paraId="240A938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1. принцип метода – УФ кинетический (IFCC), лактат - пируват;</w:t>
            </w:r>
          </w:p>
          <w:p w14:paraId="44CA0BA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1200 Е/л;</w:t>
            </w:r>
          </w:p>
          <w:p w14:paraId="162D6082"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3. стабильность реагента на борту анализатора не менее 21 дня;</w:t>
            </w:r>
          </w:p>
          <w:p w14:paraId="65DC0B1B"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45A2E74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158F217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2000, неболее 3000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2F031B62"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3</w:t>
            </w:r>
          </w:p>
        </w:tc>
      </w:tr>
      <w:tr w:rsidR="00FB1018" w14:paraId="65874F5D" w14:textId="77777777" w:rsidTr="00FB1018">
        <w:trPr>
          <w:trHeight w:val="816"/>
          <w:jc w:val="center"/>
        </w:trPr>
        <w:tc>
          <w:tcPr>
            <w:tcW w:w="293" w:type="pct"/>
            <w:tcBorders>
              <w:top w:val="single" w:sz="4" w:space="0" w:color="auto"/>
              <w:left w:val="single" w:sz="4" w:space="0" w:color="auto"/>
              <w:bottom w:val="single" w:sz="4" w:space="0" w:color="auto"/>
              <w:right w:val="single" w:sz="4" w:space="0" w:color="auto"/>
            </w:tcBorders>
            <w:vAlign w:val="center"/>
          </w:tcPr>
          <w:p w14:paraId="640D3622"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69E2B068"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активности щелочной фосфатазы</w:t>
            </w:r>
          </w:p>
        </w:tc>
        <w:tc>
          <w:tcPr>
            <w:tcW w:w="3001" w:type="pct"/>
            <w:tcBorders>
              <w:top w:val="single" w:sz="4" w:space="0" w:color="auto"/>
              <w:left w:val="single" w:sz="4" w:space="0" w:color="auto"/>
              <w:bottom w:val="single" w:sz="4" w:space="0" w:color="auto"/>
              <w:right w:val="single" w:sz="4" w:space="0" w:color="auto"/>
            </w:tcBorders>
            <w:hideMark/>
          </w:tcPr>
          <w:p w14:paraId="389681D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кинетический колориметрический с АМР-буфером (IFCC);</w:t>
            </w:r>
          </w:p>
          <w:p w14:paraId="0100CD5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1500 Е/л;</w:t>
            </w:r>
          </w:p>
          <w:p w14:paraId="16D20BC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7 дней;</w:t>
            </w:r>
          </w:p>
          <w:p w14:paraId="13197E6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5411DBA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4C23EB98"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3000, неболее 3500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1912139E"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r>
      <w:tr w:rsidR="00FB1018" w14:paraId="7409B44C"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12FCA11E"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00BDB8D2"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активности гамма-глутамилтранс-пептидазы</w:t>
            </w:r>
          </w:p>
        </w:tc>
        <w:tc>
          <w:tcPr>
            <w:tcW w:w="3001" w:type="pct"/>
            <w:tcBorders>
              <w:top w:val="single" w:sz="4" w:space="0" w:color="auto"/>
              <w:left w:val="single" w:sz="4" w:space="0" w:color="auto"/>
              <w:bottom w:val="single" w:sz="4" w:space="0" w:color="auto"/>
              <w:right w:val="single" w:sz="4" w:space="0" w:color="auto"/>
            </w:tcBorders>
            <w:hideMark/>
          </w:tcPr>
          <w:p w14:paraId="0967F74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кинетический колориметрический;</w:t>
            </w:r>
          </w:p>
          <w:p w14:paraId="74853D78"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1200 Е/л;</w:t>
            </w:r>
          </w:p>
          <w:p w14:paraId="36942D8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30 дней;</w:t>
            </w:r>
          </w:p>
          <w:p w14:paraId="6DA358C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 реагент должен быть оригинального производства BeckmanCoulter или для </w:t>
            </w:r>
            <w:r>
              <w:rPr>
                <w:rFonts w:ascii="Times New Roman" w:hAnsi="Times New Roman" w:cs="Times New Roman"/>
                <w:sz w:val="24"/>
                <w:szCs w:val="24"/>
              </w:rPr>
              <w:lastRenderedPageBreak/>
              <w:t>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2E90AD3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7F53082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2500, неболее 3000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2F6C97D6"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2 </w:t>
            </w:r>
          </w:p>
        </w:tc>
      </w:tr>
      <w:tr w:rsidR="00FB1018" w14:paraId="185B5D6D"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3356B35B"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202B8BB1"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концентрации церулоплазмина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419AD2C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иммунотурбидиметрия;</w:t>
            </w:r>
          </w:p>
          <w:p w14:paraId="6B94EF1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чем 0,06-2,0 г/л;</w:t>
            </w:r>
          </w:p>
          <w:p w14:paraId="4BA5142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отсутствие ошибочно низких результатов при концентрации до 3,0 г/л;</w:t>
            </w:r>
          </w:p>
          <w:p w14:paraId="170405D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стабильность реагента на борту анализатора не менее 90 дней;</w:t>
            </w:r>
          </w:p>
          <w:p w14:paraId="1061273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7A29D9C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3294394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7. количество тестов в наборе не менее 400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7B66230B"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r>
      <w:tr w:rsidR="00FB1018" w14:paraId="1C2D91BA"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041BDEF7"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3C455E55"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активности амилазы в сыворотке и моче</w:t>
            </w:r>
          </w:p>
        </w:tc>
        <w:tc>
          <w:tcPr>
            <w:tcW w:w="3001" w:type="pct"/>
            <w:tcBorders>
              <w:top w:val="single" w:sz="4" w:space="0" w:color="auto"/>
              <w:left w:val="single" w:sz="4" w:space="0" w:color="auto"/>
              <w:bottom w:val="single" w:sz="4" w:space="0" w:color="auto"/>
              <w:right w:val="single" w:sz="4" w:space="0" w:color="auto"/>
            </w:tcBorders>
            <w:hideMark/>
          </w:tcPr>
          <w:p w14:paraId="4C40A9FC"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кинетическое колориметрическое определение (CNPG3);</w:t>
            </w:r>
          </w:p>
          <w:p w14:paraId="67C610D8"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2000 Е/л (в сыворотке или плазме) и не менее 4800 Е/л (для мочи);</w:t>
            </w:r>
          </w:p>
          <w:p w14:paraId="348128A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30 дней;</w:t>
            </w:r>
          </w:p>
          <w:p w14:paraId="5A02588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w:t>
            </w:r>
            <w:r>
              <w:rPr>
                <w:rFonts w:ascii="Times New Roman" w:hAnsi="Times New Roman" w:cs="Times New Roman"/>
                <w:sz w:val="24"/>
                <w:szCs w:val="24"/>
              </w:rPr>
              <w:lastRenderedPageBreak/>
              <w:t>(BeckmanCoulter) согласно Приказу МЗ РБ №145 от 18.02.2014;</w:t>
            </w:r>
          </w:p>
          <w:p w14:paraId="270A16AB"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 должны быть расфасован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491474B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900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30CF4F9A"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4 </w:t>
            </w:r>
          </w:p>
        </w:tc>
      </w:tr>
      <w:tr w:rsidR="00FB1018" w14:paraId="06A7A04C"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1B3C4AB0"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0A0BAA"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активности липазы</w:t>
            </w:r>
          </w:p>
        </w:tc>
        <w:tc>
          <w:tcPr>
            <w:tcW w:w="3001" w:type="pct"/>
            <w:tcBorders>
              <w:top w:val="single" w:sz="4" w:space="0" w:color="auto"/>
              <w:left w:val="single" w:sz="4" w:space="0" w:color="auto"/>
              <w:bottom w:val="single" w:sz="4" w:space="0" w:color="auto"/>
              <w:right w:val="single" w:sz="4" w:space="0" w:color="auto"/>
            </w:tcBorders>
            <w:vAlign w:val="center"/>
            <w:hideMark/>
          </w:tcPr>
          <w:p w14:paraId="636E6EC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кинетический колориметрический;</w:t>
            </w:r>
          </w:p>
          <w:p w14:paraId="1E9C58B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600 Е/л;</w:t>
            </w:r>
          </w:p>
          <w:p w14:paraId="6F03C2C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20 дней;</w:t>
            </w:r>
          </w:p>
          <w:p w14:paraId="7E5396B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67C9EFA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Флаконы должны содержать штрихкоды, обеспечивающие реализацию в анализаторе функции автоопределения;</w:t>
            </w:r>
          </w:p>
          <w:p w14:paraId="48FAC4C9"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200, не более 300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575C2FEE"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r>
      <w:tr w:rsidR="00FB1018" w14:paraId="7014795B" w14:textId="77777777" w:rsidTr="00FB1018">
        <w:trPr>
          <w:trHeight w:val="780"/>
          <w:jc w:val="center"/>
        </w:trPr>
        <w:tc>
          <w:tcPr>
            <w:tcW w:w="293" w:type="pct"/>
            <w:tcBorders>
              <w:top w:val="single" w:sz="4" w:space="0" w:color="auto"/>
              <w:left w:val="single" w:sz="4" w:space="0" w:color="auto"/>
              <w:bottom w:val="single" w:sz="4" w:space="0" w:color="auto"/>
              <w:right w:val="single" w:sz="4" w:space="0" w:color="auto"/>
            </w:tcBorders>
            <w:vAlign w:val="center"/>
          </w:tcPr>
          <w:p w14:paraId="67BD2720"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5E92D435" w14:textId="77777777" w:rsidR="003F413B" w:rsidRDefault="003F413B">
            <w:pPr>
              <w:spacing w:after="0" w:line="240" w:lineRule="auto"/>
              <w:contextualSpacing/>
              <w:rPr>
                <w:rFonts w:ascii="Times New Roman" w:hAnsi="Times New Roman" w:cs="Times New Roman"/>
                <w:sz w:val="24"/>
                <w:szCs w:val="24"/>
                <w:highlight w:val="yellow"/>
              </w:rPr>
            </w:pPr>
            <w:r>
              <w:rPr>
                <w:rFonts w:ascii="Times New Roman" w:hAnsi="Times New Roman" w:cs="Times New Roman"/>
                <w:sz w:val="24"/>
                <w:szCs w:val="24"/>
              </w:rPr>
              <w:t>Набор реагентов для определения активности холинэстеразы</w:t>
            </w:r>
          </w:p>
        </w:tc>
        <w:tc>
          <w:tcPr>
            <w:tcW w:w="3001" w:type="pct"/>
            <w:tcBorders>
              <w:top w:val="single" w:sz="4" w:space="0" w:color="auto"/>
              <w:left w:val="single" w:sz="4" w:space="0" w:color="auto"/>
              <w:bottom w:val="single" w:sz="4" w:space="0" w:color="auto"/>
              <w:right w:val="single" w:sz="4" w:space="0" w:color="auto"/>
            </w:tcBorders>
            <w:vAlign w:val="center"/>
            <w:hideMark/>
          </w:tcPr>
          <w:p w14:paraId="41E3F07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кинетический колориметрический с бутирилтиохолином;</w:t>
            </w:r>
          </w:p>
          <w:p w14:paraId="608BC3D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1-15,0 кЕ/л;</w:t>
            </w:r>
          </w:p>
          <w:p w14:paraId="6CE4F00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30 дней;</w:t>
            </w:r>
          </w:p>
          <w:p w14:paraId="25DA714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48396892"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5D6D7B75" w14:textId="77777777" w:rsidR="003F413B" w:rsidRDefault="003F413B">
            <w:pPr>
              <w:spacing w:after="0" w:line="240" w:lineRule="auto"/>
              <w:contextualSpacing/>
              <w:jc w:val="both"/>
              <w:rPr>
                <w:rFonts w:ascii="Times New Roman" w:hAnsi="Times New Roman" w:cs="Times New Roman"/>
                <w:sz w:val="24"/>
                <w:szCs w:val="24"/>
                <w:highlight w:val="yellow"/>
              </w:rPr>
            </w:pPr>
            <w:r>
              <w:rPr>
                <w:rFonts w:ascii="Times New Roman" w:hAnsi="Times New Roman" w:cs="Times New Roman"/>
                <w:sz w:val="24"/>
                <w:szCs w:val="24"/>
              </w:rPr>
              <w:lastRenderedPageBreak/>
              <w:t>6. количество тестов в наборе не менее 700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4C263037"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1 </w:t>
            </w:r>
          </w:p>
        </w:tc>
      </w:tr>
      <w:tr w:rsidR="00FB1018" w14:paraId="1F522196"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5C808DEB"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4AD165EF"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концентрации железа</w:t>
            </w:r>
          </w:p>
        </w:tc>
        <w:tc>
          <w:tcPr>
            <w:tcW w:w="3001" w:type="pct"/>
            <w:tcBorders>
              <w:top w:val="single" w:sz="4" w:space="0" w:color="auto"/>
              <w:left w:val="single" w:sz="4" w:space="0" w:color="auto"/>
              <w:bottom w:val="single" w:sz="4" w:space="0" w:color="auto"/>
              <w:right w:val="single" w:sz="4" w:space="0" w:color="auto"/>
            </w:tcBorders>
            <w:hideMark/>
          </w:tcPr>
          <w:p w14:paraId="5E405B7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количественно определение методом фотометрии в видимом диапазоне с TPTZ;</w:t>
            </w:r>
          </w:p>
          <w:p w14:paraId="6600BAD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2,0-170,0 мкмоль/л;</w:t>
            </w:r>
          </w:p>
          <w:p w14:paraId="450BC9A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60 дней;</w:t>
            </w:r>
          </w:p>
          <w:p w14:paraId="7044E54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1E1E0462"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009AE0AC"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2000, не более 3000.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50A9DB62"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8 </w:t>
            </w:r>
          </w:p>
        </w:tc>
      </w:tr>
      <w:tr w:rsidR="00FB1018" w14:paraId="02DD3B69"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2CDF3469"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09EA6D79"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ненасыщенной железосвязывающей способности сыворотки</w:t>
            </w:r>
          </w:p>
        </w:tc>
        <w:tc>
          <w:tcPr>
            <w:tcW w:w="3001" w:type="pct"/>
            <w:tcBorders>
              <w:top w:val="single" w:sz="4" w:space="0" w:color="auto"/>
              <w:left w:val="single" w:sz="4" w:space="0" w:color="auto"/>
              <w:bottom w:val="single" w:sz="4" w:space="0" w:color="auto"/>
              <w:right w:val="single" w:sz="4" w:space="0" w:color="auto"/>
            </w:tcBorders>
            <w:hideMark/>
          </w:tcPr>
          <w:p w14:paraId="01767FD2"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количественно определение методом фотометрии в видимом диапазоне (Nitrozo-PSAP);</w:t>
            </w:r>
          </w:p>
          <w:p w14:paraId="3A124BF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100 мкмоль/л;</w:t>
            </w:r>
          </w:p>
          <w:p w14:paraId="6AFA2BA9"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выполнение методики должно быть полностью автоматизировано и не требовать мануальных процедур;</w:t>
            </w:r>
          </w:p>
          <w:p w14:paraId="1A69D64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694E1A3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Флаконы должны содержать штрихкоды, обеспечивающие реализацию в анализаторе функции автоопределения;</w:t>
            </w:r>
          </w:p>
          <w:p w14:paraId="7450813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800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4F797DD5"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1 </w:t>
            </w:r>
          </w:p>
        </w:tc>
      </w:tr>
      <w:tr w:rsidR="00FB1018" w14:paraId="603578FF"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7C3CD540"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44CDFB9A"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Набор реагентов для определения </w:t>
            </w:r>
            <w:r>
              <w:rPr>
                <w:rFonts w:ascii="Times New Roman" w:hAnsi="Times New Roman" w:cs="Times New Roman"/>
                <w:sz w:val="24"/>
                <w:szCs w:val="24"/>
              </w:rPr>
              <w:lastRenderedPageBreak/>
              <w:t>концентрации ферритина</w:t>
            </w:r>
          </w:p>
        </w:tc>
        <w:tc>
          <w:tcPr>
            <w:tcW w:w="3001" w:type="pct"/>
            <w:tcBorders>
              <w:top w:val="single" w:sz="4" w:space="0" w:color="auto"/>
              <w:left w:val="single" w:sz="4" w:space="0" w:color="auto"/>
              <w:bottom w:val="single" w:sz="4" w:space="0" w:color="auto"/>
              <w:right w:val="single" w:sz="4" w:space="0" w:color="auto"/>
            </w:tcBorders>
            <w:hideMark/>
          </w:tcPr>
          <w:p w14:paraId="2D3A1D6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1. принцип метода – иммунотурбидиметрия;</w:t>
            </w:r>
          </w:p>
          <w:p w14:paraId="29861BA9"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чем 8-450 мкг/л;</w:t>
            </w:r>
          </w:p>
          <w:p w14:paraId="18DFDAD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отсутствие ошибочно низких результатов при концентрации до 20000 мкг/л;</w:t>
            </w:r>
          </w:p>
          <w:p w14:paraId="5EDA552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4. стабильность реагента на борту анализатора не менее 60 дней;</w:t>
            </w:r>
          </w:p>
          <w:p w14:paraId="790168B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461C4E5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46F6294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7. количество тестов в наборе не менее 800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6C99B805"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10 </w:t>
            </w:r>
          </w:p>
        </w:tc>
      </w:tr>
      <w:tr w:rsidR="00FB1018" w14:paraId="3B396E12"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7E6FBF1A"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20033AF0"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концентрации трансферрина</w:t>
            </w:r>
          </w:p>
        </w:tc>
        <w:tc>
          <w:tcPr>
            <w:tcW w:w="3001" w:type="pct"/>
            <w:tcBorders>
              <w:top w:val="single" w:sz="4" w:space="0" w:color="auto"/>
              <w:left w:val="single" w:sz="4" w:space="0" w:color="auto"/>
              <w:bottom w:val="single" w:sz="4" w:space="0" w:color="auto"/>
              <w:right w:val="single" w:sz="4" w:space="0" w:color="auto"/>
            </w:tcBorders>
            <w:hideMark/>
          </w:tcPr>
          <w:p w14:paraId="36F8D1A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иммунотурбидиметрия;</w:t>
            </w:r>
          </w:p>
          <w:p w14:paraId="028F7339"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0,75-7,50 г/л;</w:t>
            </w:r>
          </w:p>
          <w:p w14:paraId="544401BC"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90 дней;</w:t>
            </w:r>
          </w:p>
          <w:p w14:paraId="500373B2"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2F7A61C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05071C7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1000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7CDCBC86"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1 </w:t>
            </w:r>
          </w:p>
        </w:tc>
      </w:tr>
      <w:tr w:rsidR="00FB1018" w14:paraId="497B8B17"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25407917"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357224F3"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концентрации кальция в сыворотке и моче</w:t>
            </w:r>
          </w:p>
        </w:tc>
        <w:tc>
          <w:tcPr>
            <w:tcW w:w="3001" w:type="pct"/>
            <w:tcBorders>
              <w:top w:val="single" w:sz="4" w:space="0" w:color="auto"/>
              <w:left w:val="single" w:sz="4" w:space="0" w:color="auto"/>
              <w:bottom w:val="single" w:sz="4" w:space="0" w:color="auto"/>
              <w:right w:val="single" w:sz="4" w:space="0" w:color="auto"/>
            </w:tcBorders>
            <w:hideMark/>
          </w:tcPr>
          <w:p w14:paraId="77003D9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–фотометрический с Arsenazo III;</w:t>
            </w:r>
          </w:p>
          <w:p w14:paraId="5F47B65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5,0 ммоль/л для сыворотки и не менее 10,0 ммоль/л для мочи;</w:t>
            </w:r>
          </w:p>
          <w:p w14:paraId="5D2B7522"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90 дней;</w:t>
            </w:r>
          </w:p>
          <w:p w14:paraId="67397C68"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w:t>
            </w:r>
            <w:r>
              <w:rPr>
                <w:rFonts w:ascii="Times New Roman" w:hAnsi="Times New Roman" w:cs="Times New Roman"/>
                <w:sz w:val="24"/>
                <w:szCs w:val="24"/>
              </w:rPr>
              <w:lastRenderedPageBreak/>
              <w:t>(BeckmanCoulter) согласно Приказу МЗ РБ №145 от 18.02.2014;</w:t>
            </w:r>
          </w:p>
          <w:p w14:paraId="2366809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 должен быть расфасован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2E5F0BE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2500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0F584C80"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4</w:t>
            </w:r>
          </w:p>
        </w:tc>
      </w:tr>
      <w:tr w:rsidR="00FB1018" w14:paraId="654774BE"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2393BADD"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75746B07"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концентрации неорганического фосфора в сыворотке и моче</w:t>
            </w:r>
          </w:p>
        </w:tc>
        <w:tc>
          <w:tcPr>
            <w:tcW w:w="3001" w:type="pct"/>
            <w:tcBorders>
              <w:top w:val="single" w:sz="4" w:space="0" w:color="auto"/>
              <w:left w:val="single" w:sz="4" w:space="0" w:color="auto"/>
              <w:bottom w:val="single" w:sz="4" w:space="0" w:color="auto"/>
              <w:right w:val="single" w:sz="4" w:space="0" w:color="auto"/>
            </w:tcBorders>
            <w:hideMark/>
          </w:tcPr>
          <w:p w14:paraId="0E3AD4F8"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фотометрический УФ с молибдатом;</w:t>
            </w:r>
          </w:p>
          <w:p w14:paraId="0208F77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верхняя граница не менее 6,0 ммоль/л для сыворотки, не менее 110 ммоль/л для мочи;</w:t>
            </w:r>
          </w:p>
          <w:p w14:paraId="2D09C9F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30 дней;</w:t>
            </w:r>
          </w:p>
          <w:p w14:paraId="6B953A9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56F545A9"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1A7E550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2000, неболее 2500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7B902E26"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r>
      <w:tr w:rsidR="00FB1018" w14:paraId="6BE8ECE5"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0156907E"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70F1E1BA"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концентрации магния в сыворотке и моче</w:t>
            </w:r>
          </w:p>
        </w:tc>
        <w:tc>
          <w:tcPr>
            <w:tcW w:w="3001" w:type="pct"/>
            <w:tcBorders>
              <w:top w:val="single" w:sz="4" w:space="0" w:color="auto"/>
              <w:left w:val="single" w:sz="4" w:space="0" w:color="auto"/>
              <w:bottom w:val="single" w:sz="4" w:space="0" w:color="auto"/>
              <w:right w:val="single" w:sz="4" w:space="0" w:color="auto"/>
            </w:tcBorders>
            <w:vAlign w:val="center"/>
            <w:hideMark/>
          </w:tcPr>
          <w:p w14:paraId="0A6D800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количественный фотометрический в видимом диапазоне с ксилидиновым синим;</w:t>
            </w:r>
          </w:p>
          <w:p w14:paraId="25D466E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0,2 - 3,3 ммоль/л для сыворотки, верхняя граница не менее 7,5 ммоль/л для мочи;</w:t>
            </w:r>
          </w:p>
          <w:p w14:paraId="607B884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14 дней;</w:t>
            </w:r>
          </w:p>
          <w:p w14:paraId="7E27CAA8"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5796781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5. реагент должен быть расфасован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42898A9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1000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31963E83"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4 </w:t>
            </w:r>
          </w:p>
        </w:tc>
      </w:tr>
      <w:tr w:rsidR="00FB1018" w14:paraId="4082C965"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61D50E11"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45898C33"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концентрации ревматоидного фактора</w:t>
            </w:r>
          </w:p>
        </w:tc>
        <w:tc>
          <w:tcPr>
            <w:tcW w:w="3001" w:type="pct"/>
            <w:tcBorders>
              <w:top w:val="single" w:sz="4" w:space="0" w:color="auto"/>
              <w:left w:val="single" w:sz="4" w:space="0" w:color="auto"/>
              <w:bottom w:val="single" w:sz="4" w:space="0" w:color="auto"/>
              <w:right w:val="single" w:sz="4" w:space="0" w:color="auto"/>
            </w:tcBorders>
            <w:hideMark/>
          </w:tcPr>
          <w:p w14:paraId="48D45B3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иммунотурбидиметрический (латекс);</w:t>
            </w:r>
          </w:p>
          <w:p w14:paraId="15BB386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10-120 МЕ/мл;</w:t>
            </w:r>
          </w:p>
          <w:p w14:paraId="4A6F737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отсутствие ошибочно низких результатов при концентрации до 1500 МЕ/мл;</w:t>
            </w:r>
          </w:p>
          <w:p w14:paraId="30ADE1AB"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стабильность реагента на борту анализатора не менее 90 дней;</w:t>
            </w:r>
          </w:p>
          <w:p w14:paraId="19B7288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2299860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преаналитической ошибки. Флаконы должны содержать штрихкоды, обеспечивающие реализацию в анализаторе функции автоопределения;</w:t>
            </w:r>
          </w:p>
          <w:p w14:paraId="76B67D1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7. количество тестов в наборе не менее 950</w:t>
            </w:r>
          </w:p>
        </w:tc>
        <w:tc>
          <w:tcPr>
            <w:tcW w:w="693" w:type="pct"/>
            <w:tcBorders>
              <w:top w:val="single" w:sz="4" w:space="0" w:color="auto"/>
              <w:left w:val="single" w:sz="4" w:space="0" w:color="auto"/>
              <w:bottom w:val="single" w:sz="4" w:space="0" w:color="auto"/>
              <w:right w:val="single" w:sz="4" w:space="0" w:color="auto"/>
            </w:tcBorders>
            <w:vAlign w:val="center"/>
            <w:hideMark/>
          </w:tcPr>
          <w:p w14:paraId="51EB0745"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4 </w:t>
            </w:r>
          </w:p>
        </w:tc>
      </w:tr>
      <w:tr w:rsidR="00FB1018" w14:paraId="281E5AB0"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7474EDAC"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44CED259"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Калибратор для ревматоидного фактора </w:t>
            </w:r>
          </w:p>
        </w:tc>
        <w:tc>
          <w:tcPr>
            <w:tcW w:w="3001" w:type="pct"/>
            <w:tcBorders>
              <w:top w:val="single" w:sz="4" w:space="0" w:color="auto"/>
              <w:left w:val="single" w:sz="4" w:space="0" w:color="auto"/>
              <w:bottom w:val="single" w:sz="4" w:space="0" w:color="auto"/>
              <w:right w:val="single" w:sz="4" w:space="0" w:color="auto"/>
            </w:tcBorders>
            <w:vAlign w:val="center"/>
            <w:hideMark/>
          </w:tcPr>
          <w:p w14:paraId="4D688BB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предназначен для применения на анализаторах BeckmanCoulter;</w:t>
            </w:r>
          </w:p>
          <w:p w14:paraId="3EC45D6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предназначен для использования совместно с предлагаемыми реагентами;</w:t>
            </w:r>
          </w:p>
          <w:p w14:paraId="0E3FBFD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жидкий калибратор на основе человеческой сыворотки;</w:t>
            </w:r>
          </w:p>
          <w:p w14:paraId="3EAF4DE8"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стабильность после вскрытия не менее 3 месяцев;</w:t>
            </w:r>
          </w:p>
          <w:p w14:paraId="664C9CF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в состав набора должны входить не менее 5 уровней концентраций объемом не менее 1,0 мл каждый</w:t>
            </w:r>
          </w:p>
        </w:tc>
        <w:tc>
          <w:tcPr>
            <w:tcW w:w="693" w:type="pct"/>
            <w:tcBorders>
              <w:top w:val="single" w:sz="4" w:space="0" w:color="auto"/>
              <w:left w:val="single" w:sz="4" w:space="0" w:color="auto"/>
              <w:bottom w:val="single" w:sz="4" w:space="0" w:color="auto"/>
              <w:right w:val="single" w:sz="4" w:space="0" w:color="auto"/>
            </w:tcBorders>
            <w:vAlign w:val="center"/>
            <w:hideMark/>
          </w:tcPr>
          <w:p w14:paraId="242E87D9"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5 мл</w:t>
            </w:r>
          </w:p>
        </w:tc>
      </w:tr>
      <w:tr w:rsidR="00FB1018" w14:paraId="09D3A011"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2F89D706"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560AC6C9"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концентрации антистрептолизина О</w:t>
            </w:r>
          </w:p>
        </w:tc>
        <w:tc>
          <w:tcPr>
            <w:tcW w:w="3001" w:type="pct"/>
            <w:tcBorders>
              <w:top w:val="single" w:sz="4" w:space="0" w:color="auto"/>
              <w:left w:val="single" w:sz="4" w:space="0" w:color="auto"/>
              <w:bottom w:val="single" w:sz="4" w:space="0" w:color="auto"/>
              <w:right w:val="single" w:sz="4" w:space="0" w:color="auto"/>
            </w:tcBorders>
            <w:hideMark/>
          </w:tcPr>
          <w:p w14:paraId="7679036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иммунотурбидиметрический;</w:t>
            </w:r>
          </w:p>
          <w:p w14:paraId="1B84865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чем 100-1000 МЕ/мл;</w:t>
            </w:r>
          </w:p>
          <w:p w14:paraId="4621D40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60 дней;</w:t>
            </w:r>
          </w:p>
          <w:p w14:paraId="1ACFDB0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33123DC9"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5DD9223B"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1300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6E0325F2"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3</w:t>
            </w:r>
          </w:p>
        </w:tc>
      </w:tr>
      <w:tr w:rsidR="00FB1018" w14:paraId="28418A8C"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16B05610"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05E26BE6"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Иммуноглобулин А, реагент для определения – IgA</w:t>
            </w:r>
          </w:p>
        </w:tc>
        <w:tc>
          <w:tcPr>
            <w:tcW w:w="3001" w:type="pct"/>
            <w:tcBorders>
              <w:top w:val="single" w:sz="4" w:space="0" w:color="auto"/>
              <w:left w:val="single" w:sz="4" w:space="0" w:color="auto"/>
              <w:bottom w:val="single" w:sz="4" w:space="0" w:color="auto"/>
              <w:right w:val="single" w:sz="4" w:space="0" w:color="auto"/>
            </w:tcBorders>
            <w:vAlign w:val="center"/>
            <w:hideMark/>
          </w:tcPr>
          <w:p w14:paraId="5A51FFF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иммунотурбидиметрический;</w:t>
            </w:r>
          </w:p>
          <w:p w14:paraId="16D677E9"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чем 0,1-7,0 г/л;</w:t>
            </w:r>
          </w:p>
          <w:p w14:paraId="3CC2E7C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отсутствие ошибочно низких результатов при концентрации до 100 г/л;</w:t>
            </w:r>
          </w:p>
          <w:p w14:paraId="1C43B29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стабильность реагента на борту анализатора не менее 90 дней;</w:t>
            </w:r>
          </w:p>
          <w:p w14:paraId="6C26FBC8"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2E9618F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4F47EE5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7. количество тестов в наборе не менее 1000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158EF45F"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1 </w:t>
            </w:r>
          </w:p>
        </w:tc>
      </w:tr>
      <w:tr w:rsidR="00FB1018" w14:paraId="6643846C"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756CF2E0"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6FAE694B"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Иммуноглобулин M, реагент для определения –IgM</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10A4E12"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иммунотурбидиметрический;</w:t>
            </w:r>
          </w:p>
          <w:p w14:paraId="5361CAB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0,2-5,0 г/л;</w:t>
            </w:r>
          </w:p>
          <w:p w14:paraId="69AA1DC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отсутствие ошибочно низких результатов при концентрации до 100 г/л;</w:t>
            </w:r>
          </w:p>
          <w:p w14:paraId="3E45329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стабильность реагента на борту анализатора не менее 90 дней;</w:t>
            </w:r>
          </w:p>
          <w:p w14:paraId="7FB26F6B"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5.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w:t>
            </w:r>
            <w:r>
              <w:rPr>
                <w:rFonts w:ascii="Times New Roman" w:hAnsi="Times New Roman" w:cs="Times New Roman"/>
                <w:sz w:val="24"/>
                <w:szCs w:val="24"/>
              </w:rPr>
              <w:lastRenderedPageBreak/>
              <w:t>(BeckmanCoulter) согласно Приказу МЗ РБ №145 от 18.02.2014;</w:t>
            </w:r>
          </w:p>
          <w:p w14:paraId="7B694E49"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11ED2E7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7. количество тестов в наборе не менее 1000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531BA2DB"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1 </w:t>
            </w:r>
          </w:p>
        </w:tc>
      </w:tr>
      <w:tr w:rsidR="00FB1018" w14:paraId="06E94E99" w14:textId="77777777" w:rsidTr="00FB1018">
        <w:trPr>
          <w:trHeight w:val="2554"/>
          <w:jc w:val="center"/>
        </w:trPr>
        <w:tc>
          <w:tcPr>
            <w:tcW w:w="293" w:type="pct"/>
            <w:tcBorders>
              <w:top w:val="single" w:sz="4" w:space="0" w:color="auto"/>
              <w:left w:val="single" w:sz="4" w:space="0" w:color="auto"/>
              <w:bottom w:val="single" w:sz="4" w:space="0" w:color="auto"/>
              <w:right w:val="single" w:sz="4" w:space="0" w:color="auto"/>
            </w:tcBorders>
            <w:vAlign w:val="center"/>
          </w:tcPr>
          <w:p w14:paraId="473C0D68"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65DB3761"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С3 компонента комплемента</w:t>
            </w:r>
          </w:p>
        </w:tc>
        <w:tc>
          <w:tcPr>
            <w:tcW w:w="3001" w:type="pct"/>
            <w:tcBorders>
              <w:top w:val="single" w:sz="4" w:space="0" w:color="auto"/>
              <w:left w:val="single" w:sz="4" w:space="0" w:color="auto"/>
              <w:bottom w:val="single" w:sz="4" w:space="0" w:color="auto"/>
              <w:right w:val="single" w:sz="4" w:space="0" w:color="auto"/>
            </w:tcBorders>
            <w:hideMark/>
          </w:tcPr>
          <w:p w14:paraId="25E873F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иммунотурбидиметрия;</w:t>
            </w:r>
          </w:p>
          <w:p w14:paraId="61B5512C"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чем 0,15-5 г/л;</w:t>
            </w:r>
          </w:p>
          <w:p w14:paraId="03F7F6A8"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90 дней;</w:t>
            </w:r>
          </w:p>
          <w:p w14:paraId="5ABE2D32"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4CD8D0C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34CE0E3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1000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6003A54C"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r>
      <w:tr w:rsidR="00FB1018" w14:paraId="7836D709"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3F78EBF8"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1D015F44"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С4 компонента комплемента</w:t>
            </w:r>
          </w:p>
        </w:tc>
        <w:tc>
          <w:tcPr>
            <w:tcW w:w="3001" w:type="pct"/>
            <w:tcBorders>
              <w:top w:val="single" w:sz="4" w:space="0" w:color="auto"/>
              <w:left w:val="single" w:sz="4" w:space="0" w:color="auto"/>
              <w:bottom w:val="single" w:sz="4" w:space="0" w:color="auto"/>
              <w:right w:val="single" w:sz="4" w:space="0" w:color="auto"/>
            </w:tcBorders>
            <w:hideMark/>
          </w:tcPr>
          <w:p w14:paraId="58B062D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иммунотурбидиметрия;</w:t>
            </w:r>
          </w:p>
          <w:p w14:paraId="01CC68E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чем 0,08-1,50 г/л;</w:t>
            </w:r>
          </w:p>
          <w:p w14:paraId="19E0885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90 дней;</w:t>
            </w:r>
          </w:p>
          <w:p w14:paraId="55DB03B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4E2B58D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5.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w:t>
            </w:r>
            <w:r>
              <w:rPr>
                <w:rFonts w:ascii="Times New Roman" w:hAnsi="Times New Roman" w:cs="Times New Roman"/>
                <w:sz w:val="24"/>
                <w:szCs w:val="24"/>
              </w:rPr>
              <w:lastRenderedPageBreak/>
              <w:t>реализацию в анализаторе функции автоопределения;</w:t>
            </w:r>
          </w:p>
          <w:p w14:paraId="6FFC925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количество тестов в наборе не менее 1000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4785EF36"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1 </w:t>
            </w:r>
          </w:p>
        </w:tc>
      </w:tr>
      <w:tr w:rsidR="00FB1018" w14:paraId="5036D920"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6AE46E1A"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5860C2C5"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Набор реагентов для высокочувствительного определения концентрации С-реактивного белка </w:t>
            </w:r>
          </w:p>
        </w:tc>
        <w:tc>
          <w:tcPr>
            <w:tcW w:w="3001" w:type="pct"/>
            <w:tcBorders>
              <w:top w:val="single" w:sz="4" w:space="0" w:color="auto"/>
              <w:left w:val="single" w:sz="4" w:space="0" w:color="auto"/>
              <w:bottom w:val="single" w:sz="4" w:space="0" w:color="auto"/>
              <w:right w:val="single" w:sz="4" w:space="0" w:color="auto"/>
            </w:tcBorders>
            <w:hideMark/>
          </w:tcPr>
          <w:p w14:paraId="131CEBF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иммунотурбидиметрический (латекс);</w:t>
            </w:r>
          </w:p>
          <w:p w14:paraId="57961C6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0,08-80 мг/л;</w:t>
            </w:r>
          </w:p>
          <w:p w14:paraId="34CB9C6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отсутствие ошибочно низких результатов при концентрации до 750 мг/мл;</w:t>
            </w:r>
          </w:p>
          <w:p w14:paraId="023C6CEC"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стабильность реагента на борту анализатора не менее 90 дней;</w:t>
            </w:r>
          </w:p>
          <w:p w14:paraId="632B481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0E7A6B1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096B00B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7. количество тестов в наборе не менее 1500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69071829" w14:textId="77777777" w:rsidR="003F413B" w:rsidRDefault="003F413B">
            <w:pPr>
              <w:spacing w:after="0" w:line="240" w:lineRule="auto"/>
              <w:contextualSpacing/>
              <w:jc w:val="center"/>
              <w:rPr>
                <w:rFonts w:ascii="Times New Roman" w:hAnsi="Times New Roman" w:cs="Times New Roman"/>
                <w:sz w:val="24"/>
                <w:szCs w:val="24"/>
                <w:lang w:val="en-US"/>
              </w:rPr>
            </w:pPr>
            <w:r>
              <w:rPr>
                <w:rFonts w:ascii="Times New Roman" w:hAnsi="Times New Roman" w:cs="Times New Roman"/>
                <w:sz w:val="24"/>
                <w:szCs w:val="24"/>
              </w:rPr>
              <w:t xml:space="preserve">1 </w:t>
            </w:r>
          </w:p>
        </w:tc>
      </w:tr>
      <w:tr w:rsidR="00FB1018" w14:paraId="79A76A39"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6334809B"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7036AE4C"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концентрации С-реактивного белка</w:t>
            </w:r>
          </w:p>
        </w:tc>
        <w:tc>
          <w:tcPr>
            <w:tcW w:w="3001" w:type="pct"/>
            <w:tcBorders>
              <w:top w:val="single" w:sz="4" w:space="0" w:color="auto"/>
              <w:left w:val="single" w:sz="4" w:space="0" w:color="auto"/>
              <w:bottom w:val="single" w:sz="4" w:space="0" w:color="auto"/>
              <w:right w:val="single" w:sz="4" w:space="0" w:color="auto"/>
            </w:tcBorders>
            <w:hideMark/>
          </w:tcPr>
          <w:p w14:paraId="7CC97A5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иммунотурбидиметрический (латекс);</w:t>
            </w:r>
          </w:p>
          <w:p w14:paraId="586748A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чем 0,2-480 мг/л;</w:t>
            </w:r>
          </w:p>
          <w:p w14:paraId="0D5A070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отсутствие ошибочно низких результатов при концентрации до 750 мг/мл;</w:t>
            </w:r>
          </w:p>
          <w:p w14:paraId="51CD714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стабильность реагента на борту анализатора не менее 90 дней;</w:t>
            </w:r>
          </w:p>
          <w:p w14:paraId="517EF4A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0E7B7D7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реагенты должны быть расфасованы по флаконам, пригодным для прямой установки на борт анализаторов AU без необходимости переливания в другие емкости, разведения и прочих манипуляций, которые могут стать источником преаналитической ошибки. Флаконы должны содержать штрихкоды, обеспечивающие реализацию в анализаторе функции автоопределения;</w:t>
            </w:r>
          </w:p>
          <w:p w14:paraId="3287E6F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7. количество тестов в наборе не менее 900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22B44AD4"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r>
      <w:tr w:rsidR="00FB1018" w14:paraId="2CC8101D"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26A30A4A"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57CE7CD7"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Калибратор С-реактивного белка высокой чувствительности</w:t>
            </w:r>
          </w:p>
        </w:tc>
        <w:tc>
          <w:tcPr>
            <w:tcW w:w="3001" w:type="pct"/>
            <w:tcBorders>
              <w:top w:val="single" w:sz="4" w:space="0" w:color="auto"/>
              <w:left w:val="single" w:sz="4" w:space="0" w:color="auto"/>
              <w:bottom w:val="single" w:sz="4" w:space="0" w:color="auto"/>
              <w:right w:val="single" w:sz="4" w:space="0" w:color="auto"/>
            </w:tcBorders>
            <w:vAlign w:val="center"/>
            <w:hideMark/>
          </w:tcPr>
          <w:p w14:paraId="27983AA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предназначен для применения на анализаторах BeckmanCoulter;</w:t>
            </w:r>
          </w:p>
          <w:p w14:paraId="160E8D0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предназначен для использования совместно с предлагаемыми реагентами;</w:t>
            </w:r>
          </w:p>
          <w:p w14:paraId="4746260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жидкий калибратор на основе человеческой сыворотки;</w:t>
            </w:r>
          </w:p>
          <w:p w14:paraId="692CDEFC"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стабильность после вскрытия не менее 90 дней;</w:t>
            </w:r>
          </w:p>
          <w:p w14:paraId="7973559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не менее 5 уровней концентраций по не менее 2,0 мл каждый</w:t>
            </w:r>
          </w:p>
        </w:tc>
        <w:tc>
          <w:tcPr>
            <w:tcW w:w="693" w:type="pct"/>
            <w:tcBorders>
              <w:top w:val="single" w:sz="4" w:space="0" w:color="auto"/>
              <w:left w:val="single" w:sz="4" w:space="0" w:color="auto"/>
              <w:bottom w:val="single" w:sz="4" w:space="0" w:color="auto"/>
              <w:right w:val="single" w:sz="4" w:space="0" w:color="auto"/>
            </w:tcBorders>
            <w:vAlign w:val="center"/>
            <w:hideMark/>
          </w:tcPr>
          <w:p w14:paraId="58A77F36"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0 мл</w:t>
            </w:r>
          </w:p>
        </w:tc>
      </w:tr>
      <w:tr w:rsidR="00FB1018" w14:paraId="6C36E01F"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121EE5AE" w14:textId="77777777" w:rsidR="003F413B" w:rsidRDefault="003F413B" w:rsidP="003F413B">
            <w:pPr>
              <w:pStyle w:val="a7"/>
              <w:numPr>
                <w:ilvl w:val="0"/>
                <w:numId w:val="4"/>
              </w:numPr>
              <w:spacing w:line="256" w:lineRule="auto"/>
              <w:ind w:left="0" w:firstLine="0"/>
              <w:rPr>
                <w:color w:val="FF0000"/>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465E0014" w14:textId="77777777" w:rsidR="003F413B" w:rsidRDefault="003F413B">
            <w:pPr>
              <w:spacing w:after="0" w:line="240" w:lineRule="auto"/>
              <w:contextualSpacing/>
              <w:rPr>
                <w:rFonts w:ascii="Times New Roman" w:hAnsi="Times New Roman" w:cs="Times New Roman"/>
                <w:color w:val="FF0000"/>
                <w:sz w:val="24"/>
                <w:szCs w:val="24"/>
              </w:rPr>
            </w:pPr>
            <w:r>
              <w:rPr>
                <w:rFonts w:ascii="Times New Roman" w:hAnsi="Times New Roman" w:cs="Times New Roman"/>
                <w:sz w:val="24"/>
                <w:szCs w:val="24"/>
              </w:rPr>
              <w:t>Калибратор для С-реактивного белка нормальной чувствительности</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F35DE2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предназначен для применения на анализаторах AU, BeckmanCoulter;</w:t>
            </w:r>
          </w:p>
          <w:p w14:paraId="709749D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предназначен для использования совместно с предлагаемыми реагентами;</w:t>
            </w:r>
          </w:p>
          <w:p w14:paraId="76F7A8B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жидкий калибратор на основе человеческой сыворотки;</w:t>
            </w:r>
          </w:p>
          <w:p w14:paraId="16118EB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стабильность после вскрытия не менее 90 дней;</w:t>
            </w:r>
          </w:p>
          <w:p w14:paraId="3A9CC88A" w14:textId="77777777" w:rsidR="003F413B" w:rsidRDefault="003F413B">
            <w:pPr>
              <w:spacing w:after="0" w:line="240" w:lineRule="auto"/>
              <w:contextualSpacing/>
              <w:jc w:val="both"/>
              <w:rPr>
                <w:rFonts w:ascii="Times New Roman" w:hAnsi="Times New Roman" w:cs="Times New Roman"/>
                <w:color w:val="FF0000"/>
                <w:sz w:val="24"/>
                <w:szCs w:val="24"/>
              </w:rPr>
            </w:pPr>
            <w:r>
              <w:rPr>
                <w:rFonts w:ascii="Times New Roman" w:hAnsi="Times New Roman" w:cs="Times New Roman"/>
                <w:sz w:val="24"/>
                <w:szCs w:val="24"/>
              </w:rPr>
              <w:t>5. не менее 5 уровней концентраций по не менее 2,0 мл каждый</w:t>
            </w:r>
          </w:p>
        </w:tc>
        <w:tc>
          <w:tcPr>
            <w:tcW w:w="693" w:type="pct"/>
            <w:tcBorders>
              <w:top w:val="single" w:sz="4" w:space="0" w:color="auto"/>
              <w:left w:val="single" w:sz="4" w:space="0" w:color="auto"/>
              <w:bottom w:val="single" w:sz="4" w:space="0" w:color="auto"/>
              <w:right w:val="single" w:sz="4" w:space="0" w:color="auto"/>
            </w:tcBorders>
            <w:vAlign w:val="center"/>
            <w:hideMark/>
          </w:tcPr>
          <w:p w14:paraId="2BC6299B" w14:textId="77777777" w:rsidR="003F413B" w:rsidRDefault="003F413B">
            <w:pPr>
              <w:spacing w:after="0" w:line="240" w:lineRule="auto"/>
              <w:contextualSpacing/>
              <w:jc w:val="center"/>
              <w:rPr>
                <w:rFonts w:ascii="Times New Roman" w:hAnsi="Times New Roman" w:cs="Times New Roman"/>
                <w:color w:val="FF0000"/>
                <w:sz w:val="24"/>
                <w:szCs w:val="24"/>
              </w:rPr>
            </w:pPr>
            <w:r>
              <w:rPr>
                <w:rFonts w:ascii="Times New Roman" w:hAnsi="Times New Roman" w:cs="Times New Roman"/>
                <w:sz w:val="24"/>
                <w:szCs w:val="24"/>
                <w:lang w:val="en-US"/>
              </w:rPr>
              <w:t>2</w:t>
            </w:r>
            <w:r>
              <w:rPr>
                <w:rFonts w:ascii="Times New Roman" w:hAnsi="Times New Roman" w:cs="Times New Roman"/>
                <w:sz w:val="24"/>
                <w:szCs w:val="24"/>
              </w:rPr>
              <w:t>0 мл</w:t>
            </w:r>
          </w:p>
        </w:tc>
      </w:tr>
      <w:tr w:rsidR="00FB1018" w14:paraId="55882F7C"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1040E3AD"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246B123B"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оценки уровня иктеричности (желтушности), липемии и гемолиза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3AA7259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полуколичественная оценка фотометрическим методом;</w:t>
            </w:r>
          </w:p>
          <w:p w14:paraId="395B037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предназначен для применения на анализаторах серии AU, BeckmanCoulter;</w:t>
            </w:r>
          </w:p>
          <w:p w14:paraId="73A13A6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после вскрытия не менее 90 дней;</w:t>
            </w:r>
          </w:p>
          <w:p w14:paraId="0B4B895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объем набора не менее 16 флаконов по не менее 48,0 мл каждый.</w:t>
            </w:r>
          </w:p>
          <w:p w14:paraId="6BE1BB4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количество тестов в наборе не менее 38400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4DDA94B8"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r>
      <w:tr w:rsidR="00FB1018" w14:paraId="3B4CF6DD"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64927D50"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62DE5B06"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Промывающий раствор</w:t>
            </w:r>
          </w:p>
        </w:tc>
        <w:tc>
          <w:tcPr>
            <w:tcW w:w="3001" w:type="pct"/>
            <w:tcBorders>
              <w:top w:val="single" w:sz="4" w:space="0" w:color="auto"/>
              <w:left w:val="single" w:sz="4" w:space="0" w:color="auto"/>
              <w:bottom w:val="single" w:sz="4" w:space="0" w:color="auto"/>
              <w:right w:val="single" w:sz="4" w:space="0" w:color="auto"/>
            </w:tcBorders>
            <w:hideMark/>
          </w:tcPr>
          <w:p w14:paraId="0756E3C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предназначен для применения на анализаторах серии AU, BeckmanCoulter;</w:t>
            </w:r>
          </w:p>
          <w:p w14:paraId="2B6D00AB"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объём набора не менее 6 флаконов по не менее 2,0 литра каждый</w:t>
            </w:r>
          </w:p>
        </w:tc>
        <w:tc>
          <w:tcPr>
            <w:tcW w:w="693" w:type="pct"/>
            <w:tcBorders>
              <w:top w:val="single" w:sz="4" w:space="0" w:color="auto"/>
              <w:left w:val="single" w:sz="4" w:space="0" w:color="auto"/>
              <w:bottom w:val="single" w:sz="4" w:space="0" w:color="auto"/>
              <w:right w:val="single" w:sz="4" w:space="0" w:color="auto"/>
            </w:tcBorders>
            <w:vAlign w:val="center"/>
            <w:hideMark/>
          </w:tcPr>
          <w:p w14:paraId="0FBF5C84"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60</w:t>
            </w:r>
            <w:r>
              <w:rPr>
                <w:rFonts w:ascii="Times New Roman" w:hAnsi="Times New Roman" w:cs="Times New Roman"/>
                <w:sz w:val="24"/>
                <w:szCs w:val="24"/>
              </w:rPr>
              <w:t xml:space="preserve"> л</w:t>
            </w:r>
          </w:p>
        </w:tc>
      </w:tr>
      <w:tr w:rsidR="00FB1018" w14:paraId="7EAC0AF4" w14:textId="77777777" w:rsidTr="00FB1018">
        <w:trPr>
          <w:trHeight w:val="1274"/>
          <w:jc w:val="center"/>
        </w:trPr>
        <w:tc>
          <w:tcPr>
            <w:tcW w:w="293" w:type="pct"/>
            <w:tcBorders>
              <w:top w:val="single" w:sz="4" w:space="0" w:color="auto"/>
              <w:left w:val="single" w:sz="4" w:space="0" w:color="auto"/>
              <w:bottom w:val="single" w:sz="4" w:space="0" w:color="auto"/>
              <w:right w:val="single" w:sz="4" w:space="0" w:color="auto"/>
            </w:tcBorders>
            <w:vAlign w:val="center"/>
          </w:tcPr>
          <w:p w14:paraId="12A75DFF"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39CDADB8"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Системный калибратор (сыворотка)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228E3A8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аттестована по следующим параметрам: ЩФ, АЛАТ, АСАТ, амилаза, холинэстераза, общая КК, ГГТП, ЛДГ, липаза, общий белок, альбумин, мочевина, мочевая кислота, креатинин, лактат, глюкоза, холестерин, триглицериды, билирубин общий и прямой, кальций, неорганический фосфор, железо, UIBC, магний;</w:t>
            </w:r>
          </w:p>
          <w:p w14:paraId="4567CF8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предназначен для использования совместно с предлагаемыми соответствующими реагентами;</w:t>
            </w:r>
          </w:p>
          <w:p w14:paraId="3A90D49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калибратор на основе человеческого происхождения;</w:t>
            </w:r>
          </w:p>
          <w:p w14:paraId="6137A1C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в наборе не менее 20 флаконов объемом не менее 5,0 мл каждый</w:t>
            </w:r>
          </w:p>
        </w:tc>
        <w:tc>
          <w:tcPr>
            <w:tcW w:w="693" w:type="pct"/>
            <w:tcBorders>
              <w:top w:val="single" w:sz="4" w:space="0" w:color="auto"/>
              <w:left w:val="single" w:sz="4" w:space="0" w:color="auto"/>
              <w:bottom w:val="single" w:sz="4" w:space="0" w:color="auto"/>
              <w:right w:val="single" w:sz="4" w:space="0" w:color="auto"/>
            </w:tcBorders>
            <w:vAlign w:val="center"/>
            <w:hideMark/>
          </w:tcPr>
          <w:p w14:paraId="2E474197"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100 мл</w:t>
            </w:r>
          </w:p>
        </w:tc>
      </w:tr>
      <w:tr w:rsidR="00FB1018" w14:paraId="6CC191F0" w14:textId="77777777" w:rsidTr="00FB1018">
        <w:trPr>
          <w:trHeight w:val="934"/>
          <w:jc w:val="center"/>
        </w:trPr>
        <w:tc>
          <w:tcPr>
            <w:tcW w:w="293" w:type="pct"/>
            <w:tcBorders>
              <w:top w:val="single" w:sz="4" w:space="0" w:color="auto"/>
              <w:left w:val="single" w:sz="4" w:space="0" w:color="auto"/>
              <w:bottom w:val="single" w:sz="4" w:space="0" w:color="auto"/>
              <w:right w:val="single" w:sz="4" w:space="0" w:color="auto"/>
            </w:tcBorders>
            <w:vAlign w:val="center"/>
          </w:tcPr>
          <w:p w14:paraId="292D2F53"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457D4038"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Мультикалибратор 1 для специфических белков </w:t>
            </w:r>
          </w:p>
        </w:tc>
        <w:tc>
          <w:tcPr>
            <w:tcW w:w="3001" w:type="pct"/>
            <w:tcBorders>
              <w:top w:val="single" w:sz="4" w:space="0" w:color="auto"/>
              <w:left w:val="single" w:sz="4" w:space="0" w:color="auto"/>
              <w:bottom w:val="single" w:sz="4" w:space="0" w:color="auto"/>
              <w:right w:val="single" w:sz="4" w:space="0" w:color="auto"/>
            </w:tcBorders>
            <w:vAlign w:val="center"/>
            <w:hideMark/>
          </w:tcPr>
          <w:p w14:paraId="71157F9B"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1. аттестована по следующим параметрам: антистрептолизин-О, С-реактивный белок, ферритин, трансферин, С3, С4, </w:t>
            </w:r>
            <w:r>
              <w:rPr>
                <w:rFonts w:ascii="Times New Roman" w:hAnsi="Times New Roman" w:cs="Times New Roman"/>
                <w:sz w:val="24"/>
                <w:szCs w:val="24"/>
                <w:lang w:val="en-US"/>
              </w:rPr>
              <w:t>IgG</w:t>
            </w:r>
            <w:r>
              <w:rPr>
                <w:rFonts w:ascii="Times New Roman" w:hAnsi="Times New Roman" w:cs="Times New Roman"/>
                <w:sz w:val="24"/>
                <w:szCs w:val="24"/>
              </w:rPr>
              <w:t xml:space="preserve">, </w:t>
            </w:r>
            <w:r>
              <w:rPr>
                <w:rFonts w:ascii="Times New Roman" w:hAnsi="Times New Roman" w:cs="Times New Roman"/>
                <w:sz w:val="24"/>
                <w:szCs w:val="24"/>
                <w:lang w:val="en-US"/>
              </w:rPr>
              <w:t>IgA</w:t>
            </w:r>
            <w:r>
              <w:rPr>
                <w:rFonts w:ascii="Times New Roman" w:hAnsi="Times New Roman" w:cs="Times New Roman"/>
                <w:sz w:val="24"/>
                <w:szCs w:val="24"/>
              </w:rPr>
              <w:t xml:space="preserve">, </w:t>
            </w:r>
            <w:r>
              <w:rPr>
                <w:rFonts w:ascii="Times New Roman" w:hAnsi="Times New Roman" w:cs="Times New Roman"/>
                <w:sz w:val="24"/>
                <w:szCs w:val="24"/>
                <w:lang w:val="en-US"/>
              </w:rPr>
              <w:t>IgM</w:t>
            </w:r>
          </w:p>
          <w:p w14:paraId="60CD404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предназначен для использования совместно с предлагаемыми соответствующими реагентами;</w:t>
            </w:r>
          </w:p>
          <w:p w14:paraId="3D282EC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3.калибратор на основе человеческой сыворотки;</w:t>
            </w:r>
          </w:p>
          <w:p w14:paraId="49973E3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в наборе не менее 5 уровней объемом не менее 1 мл каждый</w:t>
            </w:r>
          </w:p>
        </w:tc>
        <w:tc>
          <w:tcPr>
            <w:tcW w:w="693" w:type="pct"/>
            <w:tcBorders>
              <w:top w:val="single" w:sz="4" w:space="0" w:color="auto"/>
              <w:left w:val="single" w:sz="4" w:space="0" w:color="auto"/>
              <w:bottom w:val="single" w:sz="4" w:space="0" w:color="auto"/>
              <w:right w:val="single" w:sz="4" w:space="0" w:color="auto"/>
            </w:tcBorders>
            <w:vAlign w:val="center"/>
            <w:hideMark/>
          </w:tcPr>
          <w:p w14:paraId="4A3BA1F8"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 мл</w:t>
            </w:r>
          </w:p>
        </w:tc>
      </w:tr>
      <w:tr w:rsidR="00FB1018" w14:paraId="721206FE" w14:textId="77777777" w:rsidTr="00FB1018">
        <w:trPr>
          <w:trHeight w:val="995"/>
          <w:jc w:val="center"/>
        </w:trPr>
        <w:tc>
          <w:tcPr>
            <w:tcW w:w="293" w:type="pct"/>
            <w:tcBorders>
              <w:top w:val="single" w:sz="4" w:space="0" w:color="auto"/>
              <w:left w:val="single" w:sz="4" w:space="0" w:color="auto"/>
              <w:bottom w:val="single" w:sz="4" w:space="0" w:color="auto"/>
              <w:right w:val="single" w:sz="4" w:space="0" w:color="auto"/>
            </w:tcBorders>
            <w:vAlign w:val="center"/>
          </w:tcPr>
          <w:p w14:paraId="5908A523"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3BB420C8"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Мультикалибратор 2 для специфических белков </w:t>
            </w:r>
          </w:p>
        </w:tc>
        <w:tc>
          <w:tcPr>
            <w:tcW w:w="3001" w:type="pct"/>
            <w:tcBorders>
              <w:top w:val="single" w:sz="4" w:space="0" w:color="auto"/>
              <w:left w:val="single" w:sz="4" w:space="0" w:color="auto"/>
              <w:bottom w:val="single" w:sz="4" w:space="0" w:color="auto"/>
              <w:right w:val="single" w:sz="4" w:space="0" w:color="auto"/>
            </w:tcBorders>
            <w:vAlign w:val="center"/>
            <w:hideMark/>
          </w:tcPr>
          <w:p w14:paraId="085A762C"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предназначен для применения на анализаторах BeckmanCoulter для следующих параметров: а-1 кислый гликопротеин, а-1 антитрипсин, в-2 микроглобулин, церулоплазмин, гаптоглобин;</w:t>
            </w:r>
          </w:p>
          <w:p w14:paraId="11741D7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предназначен для использования совместно с предлагаемыми соответствующими реагентами;</w:t>
            </w:r>
          </w:p>
          <w:p w14:paraId="2E9B7A3C"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жидкий калибратор на основе человеческой сыворотки;</w:t>
            </w:r>
          </w:p>
          <w:p w14:paraId="1DAD0A0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в наборе не менее 5 уровней объемом не менее 1,0 мл каждый</w:t>
            </w:r>
          </w:p>
        </w:tc>
        <w:tc>
          <w:tcPr>
            <w:tcW w:w="693" w:type="pct"/>
            <w:tcBorders>
              <w:top w:val="single" w:sz="4" w:space="0" w:color="auto"/>
              <w:left w:val="single" w:sz="4" w:space="0" w:color="auto"/>
              <w:bottom w:val="single" w:sz="4" w:space="0" w:color="auto"/>
              <w:right w:val="single" w:sz="4" w:space="0" w:color="auto"/>
            </w:tcBorders>
            <w:vAlign w:val="center"/>
            <w:hideMark/>
          </w:tcPr>
          <w:p w14:paraId="12661A77"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 мл</w:t>
            </w:r>
          </w:p>
        </w:tc>
      </w:tr>
      <w:tr w:rsidR="00FB1018" w14:paraId="46600EF5"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38A32E38"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6730DC34" w14:textId="77777777" w:rsidR="003F413B" w:rsidRDefault="003F413B">
            <w:pPr>
              <w:spacing w:after="0" w:line="240" w:lineRule="auto"/>
              <w:contextualSpacing/>
              <w:rPr>
                <w:rFonts w:ascii="Times New Roman" w:hAnsi="Times New Roman" w:cs="Times New Roman"/>
                <w:sz w:val="24"/>
                <w:szCs w:val="24"/>
                <w:highlight w:val="yellow"/>
              </w:rPr>
            </w:pPr>
            <w:r>
              <w:rPr>
                <w:rFonts w:ascii="Times New Roman" w:hAnsi="Times New Roman" w:cs="Times New Roman"/>
                <w:sz w:val="24"/>
                <w:szCs w:val="24"/>
              </w:rPr>
              <w:t>Набор для определения цистатина С</w:t>
            </w:r>
          </w:p>
        </w:tc>
        <w:tc>
          <w:tcPr>
            <w:tcW w:w="3001" w:type="pct"/>
            <w:tcBorders>
              <w:top w:val="single" w:sz="4" w:space="0" w:color="auto"/>
              <w:left w:val="single" w:sz="4" w:space="0" w:color="auto"/>
              <w:bottom w:val="single" w:sz="4" w:space="0" w:color="auto"/>
              <w:right w:val="single" w:sz="4" w:space="0" w:color="auto"/>
            </w:tcBorders>
            <w:vAlign w:val="center"/>
            <w:hideMark/>
          </w:tcPr>
          <w:p w14:paraId="587CAA2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принцип метода – иммунотурбидиметрический;</w:t>
            </w:r>
          </w:p>
          <w:p w14:paraId="41979BC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диапазон линейности: не хуже, чем 04,-10 мг/л;</w:t>
            </w:r>
          </w:p>
          <w:p w14:paraId="703F77A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реагента на борту анализатора не менее 28 дней;</w:t>
            </w:r>
          </w:p>
          <w:p w14:paraId="4DDD5BF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401EE688"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количество тестов в наборе не менее 250</w:t>
            </w:r>
          </w:p>
        </w:tc>
        <w:tc>
          <w:tcPr>
            <w:tcW w:w="693" w:type="pct"/>
            <w:tcBorders>
              <w:top w:val="single" w:sz="4" w:space="0" w:color="auto"/>
              <w:left w:val="single" w:sz="4" w:space="0" w:color="auto"/>
              <w:bottom w:val="single" w:sz="4" w:space="0" w:color="auto"/>
              <w:right w:val="single" w:sz="4" w:space="0" w:color="auto"/>
            </w:tcBorders>
            <w:vAlign w:val="center"/>
          </w:tcPr>
          <w:p w14:paraId="257CF8C3" w14:textId="21FAA895" w:rsidR="003F413B" w:rsidRDefault="003F413B" w:rsidP="00FB1018">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r>
      <w:tr w:rsidR="00FB1018" w14:paraId="2A31F6CC"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6E2A96BB"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72E579F1" w14:textId="77777777" w:rsidR="003F413B" w:rsidRDefault="003F413B">
            <w:pPr>
              <w:spacing w:after="0" w:line="240" w:lineRule="auto"/>
              <w:contextualSpacing/>
              <w:rPr>
                <w:rFonts w:ascii="Times New Roman" w:hAnsi="Times New Roman" w:cs="Times New Roman"/>
                <w:sz w:val="24"/>
                <w:szCs w:val="24"/>
                <w:highlight w:val="yellow"/>
              </w:rPr>
            </w:pPr>
            <w:r>
              <w:rPr>
                <w:rFonts w:ascii="Times New Roman" w:hAnsi="Times New Roman" w:cs="Times New Roman"/>
                <w:sz w:val="24"/>
                <w:szCs w:val="24"/>
              </w:rPr>
              <w:t>Калибратор цистатина С</w:t>
            </w:r>
          </w:p>
        </w:tc>
        <w:tc>
          <w:tcPr>
            <w:tcW w:w="3001" w:type="pct"/>
            <w:tcBorders>
              <w:top w:val="single" w:sz="4" w:space="0" w:color="auto"/>
              <w:left w:val="single" w:sz="4" w:space="0" w:color="auto"/>
              <w:bottom w:val="single" w:sz="4" w:space="0" w:color="auto"/>
              <w:right w:val="single" w:sz="4" w:space="0" w:color="auto"/>
            </w:tcBorders>
            <w:vAlign w:val="center"/>
            <w:hideMark/>
          </w:tcPr>
          <w:p w14:paraId="6884160C"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предназначен для использования совместно с предлагаемыми реагентами;</w:t>
            </w:r>
          </w:p>
          <w:p w14:paraId="2E4EC22C"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стабильность после вскрытия не менее 30 дней;</w:t>
            </w:r>
          </w:p>
          <w:p w14:paraId="1E7BD679"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жидкий калибратор на основе человеческой сыворотки;</w:t>
            </w:r>
          </w:p>
          <w:p w14:paraId="0FDF942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не менее 5 уровней концентраций по не менее 2,0 мл каждый</w:t>
            </w:r>
          </w:p>
        </w:tc>
        <w:tc>
          <w:tcPr>
            <w:tcW w:w="693" w:type="pct"/>
            <w:tcBorders>
              <w:top w:val="single" w:sz="4" w:space="0" w:color="auto"/>
              <w:left w:val="single" w:sz="4" w:space="0" w:color="auto"/>
              <w:bottom w:val="single" w:sz="4" w:space="0" w:color="auto"/>
              <w:right w:val="single" w:sz="4" w:space="0" w:color="auto"/>
            </w:tcBorders>
            <w:vAlign w:val="center"/>
          </w:tcPr>
          <w:p w14:paraId="55C964EF" w14:textId="28222F87" w:rsidR="003F413B" w:rsidRDefault="003F413B" w:rsidP="00FB1018">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 мл</w:t>
            </w:r>
          </w:p>
        </w:tc>
      </w:tr>
      <w:tr w:rsidR="00FB1018" w14:paraId="55CA02AC"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59D5BF02"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780D93D4"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Набор реагентов для определения концентрации меди</w:t>
            </w:r>
          </w:p>
        </w:tc>
        <w:tc>
          <w:tcPr>
            <w:tcW w:w="3001" w:type="pct"/>
            <w:tcBorders>
              <w:top w:val="single" w:sz="4" w:space="0" w:color="auto"/>
              <w:left w:val="single" w:sz="4" w:space="0" w:color="auto"/>
              <w:bottom w:val="single" w:sz="4" w:space="0" w:color="auto"/>
              <w:right w:val="single" w:sz="4" w:space="0" w:color="auto"/>
            </w:tcBorders>
            <w:hideMark/>
          </w:tcPr>
          <w:p w14:paraId="3BED1FA1"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диапазон линейности: не менее 68,0 мкмоль/л;</w:t>
            </w:r>
          </w:p>
          <w:p w14:paraId="12E347D2"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в состав набора должны входить не менее 5,0 мл калибратора;</w:t>
            </w:r>
          </w:p>
          <w:p w14:paraId="3446FF15"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реагент должен быть оригинального производства BeckmanCoulter или для подтверждения функциональной совместимости должна быть предоставлена адаптационная методика для анализаторов AU480 (BeckmanCoulter) согласно Приказу МЗ РБ №145 от 18.02.2014;</w:t>
            </w:r>
          </w:p>
          <w:p w14:paraId="22B4A08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стабильность реагента на борту анализатора не менее 14 дней;</w:t>
            </w:r>
          </w:p>
          <w:p w14:paraId="067EEAA2"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количество тестов в наборе не менее 800</w:t>
            </w:r>
          </w:p>
        </w:tc>
        <w:tc>
          <w:tcPr>
            <w:tcW w:w="693" w:type="pct"/>
            <w:tcBorders>
              <w:top w:val="single" w:sz="4" w:space="0" w:color="auto"/>
              <w:left w:val="single" w:sz="4" w:space="0" w:color="auto"/>
              <w:bottom w:val="single" w:sz="4" w:space="0" w:color="auto"/>
              <w:right w:val="single" w:sz="4" w:space="0" w:color="auto"/>
            </w:tcBorders>
            <w:vAlign w:val="center"/>
            <w:hideMark/>
          </w:tcPr>
          <w:p w14:paraId="4DFBF3EF"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r>
      <w:tr w:rsidR="00FB1018" w14:paraId="499E24E9"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41D55B13"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3113B288"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Очищающий раствор </w:t>
            </w:r>
          </w:p>
        </w:tc>
        <w:tc>
          <w:tcPr>
            <w:tcW w:w="3001" w:type="pct"/>
            <w:tcBorders>
              <w:top w:val="single" w:sz="4" w:space="0" w:color="auto"/>
              <w:left w:val="single" w:sz="4" w:space="0" w:color="auto"/>
              <w:bottom w:val="single" w:sz="4" w:space="0" w:color="auto"/>
              <w:right w:val="single" w:sz="4" w:space="0" w:color="auto"/>
            </w:tcBorders>
            <w:hideMark/>
          </w:tcPr>
          <w:p w14:paraId="5BB4E1F2"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в состав набора должно входить не менее 6 флаконов объемом не менее 450,0 мл каждый;</w:t>
            </w:r>
          </w:p>
          <w:p w14:paraId="454CF940"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реагент должен быть оригинального производства BeckmanCoulter в соответствии с инструкцией по эксплуатации анализатора AU480</w:t>
            </w:r>
          </w:p>
        </w:tc>
        <w:tc>
          <w:tcPr>
            <w:tcW w:w="693" w:type="pct"/>
            <w:tcBorders>
              <w:top w:val="single" w:sz="4" w:space="0" w:color="auto"/>
              <w:left w:val="single" w:sz="4" w:space="0" w:color="auto"/>
              <w:bottom w:val="single" w:sz="4" w:space="0" w:color="auto"/>
              <w:right w:val="single" w:sz="4" w:space="0" w:color="auto"/>
            </w:tcBorders>
            <w:vAlign w:val="center"/>
            <w:hideMark/>
          </w:tcPr>
          <w:p w14:paraId="3502DB27"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3наб</w:t>
            </w:r>
          </w:p>
        </w:tc>
      </w:tr>
      <w:tr w:rsidR="00FB1018" w14:paraId="1C51399D"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52FACBE5"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7A6CF471"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Буферный раствор для определения концентрации электролитов </w:t>
            </w:r>
            <w:r>
              <w:rPr>
                <w:rFonts w:ascii="Times New Roman" w:hAnsi="Times New Roman" w:cs="Times New Roman"/>
                <w:sz w:val="24"/>
                <w:szCs w:val="24"/>
              </w:rPr>
              <w:lastRenderedPageBreak/>
              <w:t>ионоселективным методом</w:t>
            </w:r>
          </w:p>
        </w:tc>
        <w:tc>
          <w:tcPr>
            <w:tcW w:w="3001" w:type="pct"/>
            <w:tcBorders>
              <w:top w:val="single" w:sz="4" w:space="0" w:color="auto"/>
              <w:left w:val="single" w:sz="4" w:space="0" w:color="auto"/>
              <w:bottom w:val="single" w:sz="4" w:space="0" w:color="auto"/>
              <w:right w:val="single" w:sz="4" w:space="0" w:color="auto"/>
            </w:tcBorders>
            <w:vAlign w:val="center"/>
            <w:hideMark/>
          </w:tcPr>
          <w:p w14:paraId="40EA949A"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1. предназначен для применения на анализаторах серии </w:t>
            </w:r>
            <w:r>
              <w:rPr>
                <w:rFonts w:ascii="Times New Roman" w:hAnsi="Times New Roman" w:cs="Times New Roman"/>
                <w:sz w:val="24"/>
                <w:szCs w:val="24"/>
                <w:lang w:val="en-US"/>
              </w:rPr>
              <w:t>AU</w:t>
            </w:r>
            <w:r>
              <w:rPr>
                <w:rFonts w:ascii="Times New Roman" w:hAnsi="Times New Roman" w:cs="Times New Roman"/>
                <w:sz w:val="24"/>
                <w:szCs w:val="24"/>
              </w:rPr>
              <w:t>, BeckmanCoulter;</w:t>
            </w:r>
          </w:p>
          <w:p w14:paraId="0253B409"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в состав набора должно входить не менее 4 флаконов объемом не менее 2000,0 мл каждый;</w:t>
            </w:r>
          </w:p>
          <w:p w14:paraId="602E79C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после вскрытия не менее 60 дней</w:t>
            </w:r>
          </w:p>
        </w:tc>
        <w:tc>
          <w:tcPr>
            <w:tcW w:w="693" w:type="pct"/>
            <w:tcBorders>
              <w:top w:val="single" w:sz="4" w:space="0" w:color="auto"/>
              <w:left w:val="single" w:sz="4" w:space="0" w:color="auto"/>
              <w:bottom w:val="single" w:sz="4" w:space="0" w:color="auto"/>
              <w:right w:val="single" w:sz="4" w:space="0" w:color="auto"/>
            </w:tcBorders>
            <w:vAlign w:val="center"/>
            <w:hideMark/>
          </w:tcPr>
          <w:p w14:paraId="7203F169"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3наб</w:t>
            </w:r>
          </w:p>
        </w:tc>
      </w:tr>
      <w:tr w:rsidR="00FB1018" w14:paraId="17F68F03"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731C083C"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1574DB96" w14:textId="77777777" w:rsidR="003F413B" w:rsidRDefault="003F413B">
            <w:pPr>
              <w:spacing w:after="0" w:line="240" w:lineRule="auto"/>
              <w:contextualSpacing/>
              <w:rPr>
                <w:rFonts w:ascii="Times New Roman" w:hAnsi="Times New Roman" w:cs="Times New Roman"/>
                <w:sz w:val="24"/>
                <w:szCs w:val="24"/>
                <w:highlight w:val="yellow"/>
              </w:rPr>
            </w:pPr>
            <w:r>
              <w:rPr>
                <w:rFonts w:ascii="Times New Roman" w:hAnsi="Times New Roman" w:cs="Times New Roman"/>
                <w:sz w:val="24"/>
                <w:szCs w:val="24"/>
              </w:rPr>
              <w:t>Калибровочный (стандартный) раствор для анализа электролитов ионоселективным методом средний уровень</w:t>
            </w:r>
          </w:p>
        </w:tc>
        <w:tc>
          <w:tcPr>
            <w:tcW w:w="3001" w:type="pct"/>
            <w:tcBorders>
              <w:top w:val="single" w:sz="4" w:space="0" w:color="auto"/>
              <w:left w:val="single" w:sz="4" w:space="0" w:color="auto"/>
              <w:bottom w:val="single" w:sz="4" w:space="0" w:color="auto"/>
              <w:right w:val="single" w:sz="4" w:space="0" w:color="auto"/>
            </w:tcBorders>
            <w:vAlign w:val="center"/>
            <w:hideMark/>
          </w:tcPr>
          <w:p w14:paraId="3F18D1A6"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1. предназначен для применения на анализаторах серии </w:t>
            </w:r>
            <w:r>
              <w:rPr>
                <w:rFonts w:ascii="Times New Roman" w:hAnsi="Times New Roman" w:cs="Times New Roman"/>
                <w:sz w:val="24"/>
                <w:szCs w:val="24"/>
                <w:lang w:val="en-US"/>
              </w:rPr>
              <w:t>AU</w:t>
            </w:r>
            <w:r>
              <w:rPr>
                <w:rFonts w:ascii="Times New Roman" w:hAnsi="Times New Roman" w:cs="Times New Roman"/>
                <w:sz w:val="24"/>
                <w:szCs w:val="24"/>
              </w:rPr>
              <w:t>, BeckmanCoulter;</w:t>
            </w:r>
          </w:p>
          <w:p w14:paraId="362FA413"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в состав набора должно входить не менее 4 флаконов объемом не менее 2000,0 мл каждый;</w:t>
            </w:r>
          </w:p>
          <w:p w14:paraId="5CB62D6A"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после вскрытия не менее 30 дней</w:t>
            </w:r>
          </w:p>
        </w:tc>
        <w:tc>
          <w:tcPr>
            <w:tcW w:w="693" w:type="pct"/>
            <w:tcBorders>
              <w:top w:val="single" w:sz="4" w:space="0" w:color="auto"/>
              <w:left w:val="single" w:sz="4" w:space="0" w:color="auto"/>
              <w:bottom w:val="single" w:sz="4" w:space="0" w:color="auto"/>
              <w:right w:val="single" w:sz="4" w:space="0" w:color="auto"/>
            </w:tcBorders>
            <w:vAlign w:val="center"/>
            <w:hideMark/>
          </w:tcPr>
          <w:p w14:paraId="53F92468"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4наб</w:t>
            </w:r>
          </w:p>
        </w:tc>
      </w:tr>
      <w:tr w:rsidR="00FB1018" w14:paraId="3B9B7681"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68D928C6"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6DFE2718" w14:textId="77777777" w:rsidR="003F413B" w:rsidRDefault="003F413B">
            <w:pPr>
              <w:spacing w:after="0" w:line="240" w:lineRule="auto"/>
              <w:contextualSpacing/>
              <w:rPr>
                <w:rFonts w:ascii="Times New Roman" w:hAnsi="Times New Roman" w:cs="Times New Roman"/>
                <w:sz w:val="24"/>
                <w:szCs w:val="24"/>
                <w:highlight w:val="yellow"/>
              </w:rPr>
            </w:pPr>
            <w:r>
              <w:rPr>
                <w:rFonts w:ascii="Times New Roman" w:hAnsi="Times New Roman" w:cs="Times New Roman"/>
                <w:sz w:val="24"/>
                <w:szCs w:val="24"/>
              </w:rPr>
              <w:t>Референсный раствор для определения концентрации электролитов ионоселективным методом</w:t>
            </w:r>
          </w:p>
        </w:tc>
        <w:tc>
          <w:tcPr>
            <w:tcW w:w="3001" w:type="pct"/>
            <w:tcBorders>
              <w:top w:val="single" w:sz="4" w:space="0" w:color="auto"/>
              <w:left w:val="single" w:sz="4" w:space="0" w:color="auto"/>
              <w:bottom w:val="single" w:sz="4" w:space="0" w:color="auto"/>
              <w:right w:val="single" w:sz="4" w:space="0" w:color="auto"/>
            </w:tcBorders>
            <w:vAlign w:val="center"/>
            <w:hideMark/>
          </w:tcPr>
          <w:p w14:paraId="4A2EA487"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1. предназначен для применения на анализаторах серии </w:t>
            </w:r>
            <w:r>
              <w:rPr>
                <w:rFonts w:ascii="Times New Roman" w:hAnsi="Times New Roman" w:cs="Times New Roman"/>
                <w:sz w:val="24"/>
                <w:szCs w:val="24"/>
                <w:lang w:val="en-US"/>
              </w:rPr>
              <w:t>AU</w:t>
            </w:r>
            <w:r>
              <w:rPr>
                <w:rFonts w:ascii="Times New Roman" w:hAnsi="Times New Roman" w:cs="Times New Roman"/>
                <w:sz w:val="24"/>
                <w:szCs w:val="24"/>
              </w:rPr>
              <w:t>, BeckmanCoulter;</w:t>
            </w:r>
          </w:p>
          <w:p w14:paraId="7A6A9C9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в состав набора должно входить не менее 4 флаконов объемом не менее 1000,0 мл каждый;</w:t>
            </w:r>
          </w:p>
          <w:p w14:paraId="67064CFB"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после вскрытия не менее 60 дней</w:t>
            </w:r>
          </w:p>
        </w:tc>
        <w:tc>
          <w:tcPr>
            <w:tcW w:w="693" w:type="pct"/>
            <w:tcBorders>
              <w:top w:val="single" w:sz="4" w:space="0" w:color="auto"/>
              <w:left w:val="single" w:sz="4" w:space="0" w:color="auto"/>
              <w:bottom w:val="single" w:sz="4" w:space="0" w:color="auto"/>
              <w:right w:val="single" w:sz="4" w:space="0" w:color="auto"/>
            </w:tcBorders>
            <w:vAlign w:val="center"/>
            <w:hideMark/>
          </w:tcPr>
          <w:p w14:paraId="77C42A66"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1наб</w:t>
            </w:r>
          </w:p>
        </w:tc>
      </w:tr>
      <w:tr w:rsidR="00FB1018" w14:paraId="2EE23C4D"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561DF89F"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56D7C9B9"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Калибровочный (стандартный) раствор для анализа электролитов в сыворотке ионоселективным методом низкий уровень  </w:t>
            </w:r>
          </w:p>
        </w:tc>
        <w:tc>
          <w:tcPr>
            <w:tcW w:w="3001" w:type="pct"/>
            <w:tcBorders>
              <w:top w:val="single" w:sz="4" w:space="0" w:color="auto"/>
              <w:left w:val="single" w:sz="4" w:space="0" w:color="auto"/>
              <w:bottom w:val="single" w:sz="4" w:space="0" w:color="auto"/>
              <w:right w:val="single" w:sz="4" w:space="0" w:color="auto"/>
            </w:tcBorders>
            <w:vAlign w:val="center"/>
            <w:hideMark/>
          </w:tcPr>
          <w:p w14:paraId="2F628F81"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1. предназначен для применения на анализаторах серии </w:t>
            </w:r>
            <w:r>
              <w:rPr>
                <w:rFonts w:ascii="Times New Roman" w:hAnsi="Times New Roman" w:cs="Times New Roman"/>
                <w:sz w:val="24"/>
                <w:szCs w:val="24"/>
                <w:lang w:val="en-US"/>
              </w:rPr>
              <w:t>AU</w:t>
            </w:r>
            <w:r>
              <w:rPr>
                <w:rFonts w:ascii="Times New Roman" w:hAnsi="Times New Roman" w:cs="Times New Roman"/>
                <w:sz w:val="24"/>
                <w:szCs w:val="24"/>
              </w:rPr>
              <w:t>, BeckmanCoulter;</w:t>
            </w:r>
          </w:p>
          <w:p w14:paraId="732824C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в состав набора должно входить не менее 4 флаконов объемом не менее 100,0 мл каждый;</w:t>
            </w:r>
          </w:p>
          <w:p w14:paraId="6617A2C2"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после вскрытия не менее 90 дней</w:t>
            </w:r>
          </w:p>
        </w:tc>
        <w:tc>
          <w:tcPr>
            <w:tcW w:w="693" w:type="pct"/>
            <w:tcBorders>
              <w:top w:val="single" w:sz="4" w:space="0" w:color="auto"/>
              <w:left w:val="single" w:sz="4" w:space="0" w:color="auto"/>
              <w:bottom w:val="single" w:sz="4" w:space="0" w:color="auto"/>
              <w:right w:val="single" w:sz="4" w:space="0" w:color="auto"/>
            </w:tcBorders>
            <w:vAlign w:val="center"/>
            <w:hideMark/>
          </w:tcPr>
          <w:p w14:paraId="33CBDCCC"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1наб</w:t>
            </w:r>
          </w:p>
        </w:tc>
      </w:tr>
      <w:tr w:rsidR="00FB1018" w14:paraId="3E8D20B7"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383026AC"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2A486004"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Калибровочный (стандартный) раствор для анализа электролитов в сыворотке ионоселективным методом высокий уровень</w:t>
            </w:r>
          </w:p>
        </w:tc>
        <w:tc>
          <w:tcPr>
            <w:tcW w:w="3001" w:type="pct"/>
            <w:tcBorders>
              <w:top w:val="single" w:sz="4" w:space="0" w:color="auto"/>
              <w:left w:val="single" w:sz="4" w:space="0" w:color="auto"/>
              <w:bottom w:val="single" w:sz="4" w:space="0" w:color="auto"/>
              <w:right w:val="single" w:sz="4" w:space="0" w:color="auto"/>
            </w:tcBorders>
            <w:vAlign w:val="center"/>
            <w:hideMark/>
          </w:tcPr>
          <w:p w14:paraId="35983087"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1. предназначен для применения на анализаторах серии </w:t>
            </w:r>
            <w:r>
              <w:rPr>
                <w:rFonts w:ascii="Times New Roman" w:hAnsi="Times New Roman" w:cs="Times New Roman"/>
                <w:sz w:val="24"/>
                <w:szCs w:val="24"/>
                <w:lang w:val="en-US"/>
              </w:rPr>
              <w:t>AU</w:t>
            </w:r>
            <w:r>
              <w:rPr>
                <w:rFonts w:ascii="Times New Roman" w:hAnsi="Times New Roman" w:cs="Times New Roman"/>
                <w:sz w:val="24"/>
                <w:szCs w:val="24"/>
              </w:rPr>
              <w:t>, BeckmanCoulter;</w:t>
            </w:r>
          </w:p>
          <w:p w14:paraId="2A8A71ED"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в состав набора должно входить не менее 4 флаконов объемом не менее 100,0 мл каждый;</w:t>
            </w:r>
          </w:p>
          <w:p w14:paraId="1C41647F"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после вскрытия не менее 90 дней</w:t>
            </w:r>
          </w:p>
        </w:tc>
        <w:tc>
          <w:tcPr>
            <w:tcW w:w="693" w:type="pct"/>
            <w:tcBorders>
              <w:top w:val="single" w:sz="4" w:space="0" w:color="auto"/>
              <w:left w:val="single" w:sz="4" w:space="0" w:color="auto"/>
              <w:bottom w:val="single" w:sz="4" w:space="0" w:color="auto"/>
              <w:right w:val="single" w:sz="4" w:space="0" w:color="auto"/>
            </w:tcBorders>
            <w:vAlign w:val="center"/>
            <w:hideMark/>
          </w:tcPr>
          <w:p w14:paraId="13B915FC" w14:textId="77777777" w:rsidR="003F413B" w:rsidRDefault="003F413B">
            <w:pPr>
              <w:spacing w:after="0" w:line="24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1наб</w:t>
            </w:r>
          </w:p>
        </w:tc>
      </w:tr>
      <w:tr w:rsidR="00FB1018" w14:paraId="02075AFB"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472CE0DA"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1FBAD2E7"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Внутренний референсный раствор</w:t>
            </w:r>
          </w:p>
        </w:tc>
        <w:tc>
          <w:tcPr>
            <w:tcW w:w="3001" w:type="pct"/>
            <w:tcBorders>
              <w:top w:val="single" w:sz="4" w:space="0" w:color="auto"/>
              <w:left w:val="single" w:sz="4" w:space="0" w:color="auto"/>
              <w:bottom w:val="single" w:sz="4" w:space="0" w:color="auto"/>
              <w:right w:val="single" w:sz="4" w:space="0" w:color="auto"/>
            </w:tcBorders>
            <w:vAlign w:val="center"/>
            <w:hideMark/>
          </w:tcPr>
          <w:p w14:paraId="5D39BB3D"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1. предназначен для применения на анализаторах серии </w:t>
            </w:r>
            <w:r>
              <w:rPr>
                <w:rFonts w:ascii="Times New Roman" w:hAnsi="Times New Roman" w:cs="Times New Roman"/>
                <w:sz w:val="24"/>
                <w:szCs w:val="24"/>
                <w:lang w:val="en-US"/>
              </w:rPr>
              <w:t>AU</w:t>
            </w:r>
            <w:r>
              <w:rPr>
                <w:rFonts w:ascii="Times New Roman" w:hAnsi="Times New Roman" w:cs="Times New Roman"/>
                <w:sz w:val="24"/>
                <w:szCs w:val="24"/>
              </w:rPr>
              <w:t>, BeckmanCoulter;</w:t>
            </w:r>
          </w:p>
          <w:p w14:paraId="0AD0EC67"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в состав набора должно входить не менее 2 флаконов объемом не менее 25,0 мл каждый;</w:t>
            </w:r>
          </w:p>
          <w:p w14:paraId="0C09EBB6"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после вскрытия не менее 90 дней.</w:t>
            </w:r>
          </w:p>
        </w:tc>
        <w:tc>
          <w:tcPr>
            <w:tcW w:w="693" w:type="pct"/>
            <w:tcBorders>
              <w:top w:val="single" w:sz="4" w:space="0" w:color="auto"/>
              <w:left w:val="single" w:sz="4" w:space="0" w:color="auto"/>
              <w:bottom w:val="single" w:sz="4" w:space="0" w:color="auto"/>
              <w:right w:val="single" w:sz="4" w:space="0" w:color="auto"/>
            </w:tcBorders>
            <w:vAlign w:val="center"/>
            <w:hideMark/>
          </w:tcPr>
          <w:p w14:paraId="73A452BF" w14:textId="77777777" w:rsidR="003F413B" w:rsidRDefault="003F413B">
            <w:pPr>
              <w:spacing w:after="0" w:line="24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наб.</w:t>
            </w:r>
          </w:p>
        </w:tc>
      </w:tr>
      <w:tr w:rsidR="00FB1018" w14:paraId="1533D571"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6F3A10BE"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21A146C2" w14:textId="77777777" w:rsidR="003F413B" w:rsidRDefault="003F413B">
            <w:pPr>
              <w:spacing w:after="0" w:line="240" w:lineRule="auto"/>
              <w:contextualSpacing/>
              <w:rPr>
                <w:rFonts w:ascii="Times New Roman" w:hAnsi="Times New Roman" w:cs="Times New Roman"/>
                <w:sz w:val="24"/>
                <w:szCs w:val="24"/>
                <w:highlight w:val="yellow"/>
              </w:rPr>
            </w:pPr>
            <w:r>
              <w:rPr>
                <w:rFonts w:ascii="Times New Roman" w:hAnsi="Times New Roman" w:cs="Times New Roman"/>
                <w:sz w:val="24"/>
                <w:szCs w:val="24"/>
              </w:rPr>
              <w:t>Реагентная система для определения концентрации калия ионоселективным методом (электрод калиевый)</w:t>
            </w:r>
          </w:p>
        </w:tc>
        <w:tc>
          <w:tcPr>
            <w:tcW w:w="3001" w:type="pct"/>
            <w:tcBorders>
              <w:top w:val="single" w:sz="4" w:space="0" w:color="auto"/>
              <w:left w:val="single" w:sz="4" w:space="0" w:color="auto"/>
              <w:bottom w:val="single" w:sz="4" w:space="0" w:color="auto"/>
              <w:right w:val="single" w:sz="4" w:space="0" w:color="auto"/>
            </w:tcBorders>
            <w:vAlign w:val="center"/>
          </w:tcPr>
          <w:p w14:paraId="43244317"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1. предназначен для применения на анализаторах серии </w:t>
            </w:r>
            <w:r>
              <w:rPr>
                <w:rFonts w:ascii="Times New Roman" w:hAnsi="Times New Roman" w:cs="Times New Roman"/>
                <w:sz w:val="24"/>
                <w:szCs w:val="24"/>
                <w:lang w:val="en-US"/>
              </w:rPr>
              <w:t>AU</w:t>
            </w:r>
            <w:r>
              <w:rPr>
                <w:rFonts w:ascii="Times New Roman" w:hAnsi="Times New Roman" w:cs="Times New Roman"/>
                <w:sz w:val="24"/>
                <w:szCs w:val="24"/>
              </w:rPr>
              <w:t>, BeckmanCoulter</w:t>
            </w:r>
          </w:p>
          <w:p w14:paraId="612E8F30"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рассчитан на выполнение не менее 20 000 исследований</w:t>
            </w:r>
          </w:p>
          <w:p w14:paraId="5238095D" w14:textId="77777777" w:rsidR="003F413B" w:rsidRDefault="003F413B">
            <w:pPr>
              <w:spacing w:after="0" w:line="240" w:lineRule="auto"/>
              <w:contextualSpacing/>
              <w:jc w:val="both"/>
              <w:rPr>
                <w:rFonts w:ascii="Times New Roman" w:hAnsi="Times New Roman" w:cs="Times New Roman"/>
                <w:sz w:val="24"/>
                <w:szCs w:val="24"/>
              </w:rPr>
            </w:pPr>
          </w:p>
        </w:tc>
        <w:tc>
          <w:tcPr>
            <w:tcW w:w="693" w:type="pct"/>
            <w:tcBorders>
              <w:top w:val="single" w:sz="4" w:space="0" w:color="auto"/>
              <w:left w:val="single" w:sz="4" w:space="0" w:color="auto"/>
              <w:bottom w:val="single" w:sz="4" w:space="0" w:color="auto"/>
              <w:right w:val="single" w:sz="4" w:space="0" w:color="auto"/>
            </w:tcBorders>
            <w:vAlign w:val="center"/>
            <w:hideMark/>
          </w:tcPr>
          <w:p w14:paraId="4ACC2853"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2шт</w:t>
            </w:r>
          </w:p>
        </w:tc>
      </w:tr>
      <w:tr w:rsidR="00FB1018" w14:paraId="303427C7"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00900900" w14:textId="77777777" w:rsidR="003F413B" w:rsidRDefault="003F413B" w:rsidP="003F413B">
            <w:pPr>
              <w:pStyle w:val="a7"/>
              <w:numPr>
                <w:ilvl w:val="0"/>
                <w:numId w:val="4"/>
              </w:numPr>
              <w:spacing w:line="256" w:lineRule="auto"/>
              <w:ind w:left="0" w:firstLine="0"/>
              <w:rPr>
                <w:color w:val="FF0000"/>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30B5FA46" w14:textId="77777777" w:rsidR="003F413B" w:rsidRDefault="003F413B">
            <w:pPr>
              <w:spacing w:after="0" w:line="240" w:lineRule="auto"/>
              <w:contextualSpacing/>
              <w:rPr>
                <w:rFonts w:ascii="Times New Roman" w:hAnsi="Times New Roman" w:cs="Times New Roman"/>
                <w:color w:val="FF0000"/>
                <w:sz w:val="24"/>
                <w:szCs w:val="24"/>
              </w:rPr>
            </w:pPr>
            <w:r>
              <w:rPr>
                <w:rFonts w:ascii="Times New Roman" w:hAnsi="Times New Roman" w:cs="Times New Roman"/>
                <w:sz w:val="24"/>
                <w:szCs w:val="24"/>
              </w:rPr>
              <w:t>Реагентная система для определения концентрации натрия ионоселективным методом (электрод натриевый)</w:t>
            </w:r>
          </w:p>
        </w:tc>
        <w:tc>
          <w:tcPr>
            <w:tcW w:w="3001" w:type="pct"/>
            <w:tcBorders>
              <w:top w:val="single" w:sz="4" w:space="0" w:color="auto"/>
              <w:left w:val="single" w:sz="4" w:space="0" w:color="auto"/>
              <w:bottom w:val="single" w:sz="4" w:space="0" w:color="auto"/>
              <w:right w:val="single" w:sz="4" w:space="0" w:color="auto"/>
            </w:tcBorders>
            <w:vAlign w:val="center"/>
          </w:tcPr>
          <w:p w14:paraId="504F2EE4"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1. предназначен для применения на анализаторах серии </w:t>
            </w:r>
            <w:r>
              <w:rPr>
                <w:rFonts w:ascii="Times New Roman" w:hAnsi="Times New Roman" w:cs="Times New Roman"/>
                <w:sz w:val="24"/>
                <w:szCs w:val="24"/>
                <w:lang w:val="en-US"/>
              </w:rPr>
              <w:t>AU</w:t>
            </w:r>
            <w:r>
              <w:rPr>
                <w:rFonts w:ascii="Times New Roman" w:hAnsi="Times New Roman" w:cs="Times New Roman"/>
                <w:sz w:val="24"/>
                <w:szCs w:val="24"/>
              </w:rPr>
              <w:t>, BeckmanCoulter</w:t>
            </w:r>
          </w:p>
          <w:p w14:paraId="08C6AF8B"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рассчитан на выполнение не менее 20 000 исследований</w:t>
            </w:r>
          </w:p>
          <w:p w14:paraId="49492709" w14:textId="77777777" w:rsidR="003F413B" w:rsidRDefault="003F413B">
            <w:pPr>
              <w:spacing w:after="0" w:line="240" w:lineRule="auto"/>
              <w:contextualSpacing/>
              <w:jc w:val="both"/>
              <w:rPr>
                <w:rFonts w:ascii="Times New Roman" w:hAnsi="Times New Roman" w:cs="Times New Roman"/>
                <w:color w:val="FF0000"/>
                <w:sz w:val="24"/>
                <w:szCs w:val="24"/>
              </w:rPr>
            </w:pPr>
          </w:p>
        </w:tc>
        <w:tc>
          <w:tcPr>
            <w:tcW w:w="693" w:type="pct"/>
            <w:tcBorders>
              <w:top w:val="single" w:sz="4" w:space="0" w:color="auto"/>
              <w:left w:val="single" w:sz="4" w:space="0" w:color="auto"/>
              <w:bottom w:val="single" w:sz="4" w:space="0" w:color="auto"/>
              <w:right w:val="single" w:sz="4" w:space="0" w:color="auto"/>
            </w:tcBorders>
            <w:vAlign w:val="center"/>
            <w:hideMark/>
          </w:tcPr>
          <w:p w14:paraId="166B5F4F" w14:textId="77777777" w:rsidR="003F413B" w:rsidRDefault="003F413B">
            <w:pPr>
              <w:spacing w:after="0" w:line="240" w:lineRule="auto"/>
              <w:contextualSpacing/>
              <w:jc w:val="center"/>
              <w:rPr>
                <w:rFonts w:ascii="Times New Roman" w:hAnsi="Times New Roman" w:cs="Times New Roman"/>
                <w:color w:val="FF0000"/>
                <w:sz w:val="24"/>
                <w:szCs w:val="24"/>
              </w:rPr>
            </w:pPr>
            <w:r>
              <w:rPr>
                <w:rFonts w:ascii="Times New Roman" w:hAnsi="Times New Roman" w:cs="Times New Roman"/>
                <w:color w:val="FF0000"/>
                <w:sz w:val="24"/>
                <w:szCs w:val="24"/>
              </w:rPr>
              <w:t>2шт</w:t>
            </w:r>
          </w:p>
        </w:tc>
      </w:tr>
      <w:tr w:rsidR="00FB1018" w14:paraId="1D0FC4BC"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5BE6BB1C" w14:textId="77777777" w:rsidR="003F413B" w:rsidRDefault="003F413B" w:rsidP="003F413B">
            <w:pPr>
              <w:pStyle w:val="a7"/>
              <w:numPr>
                <w:ilvl w:val="0"/>
                <w:numId w:val="4"/>
              </w:numPr>
              <w:spacing w:line="256" w:lineRule="auto"/>
              <w:ind w:left="0" w:firstLine="0"/>
              <w:rPr>
                <w:color w:val="FF0000"/>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3DA4F564" w14:textId="77777777" w:rsidR="003F413B" w:rsidRDefault="003F413B">
            <w:pPr>
              <w:spacing w:after="0" w:line="240" w:lineRule="auto"/>
              <w:contextualSpacing/>
              <w:rPr>
                <w:rFonts w:ascii="Times New Roman" w:hAnsi="Times New Roman" w:cs="Times New Roman"/>
                <w:color w:val="FF0000"/>
                <w:sz w:val="24"/>
                <w:szCs w:val="24"/>
              </w:rPr>
            </w:pPr>
            <w:r>
              <w:rPr>
                <w:rFonts w:ascii="Times New Roman" w:hAnsi="Times New Roman" w:cs="Times New Roman"/>
                <w:sz w:val="24"/>
                <w:szCs w:val="24"/>
              </w:rPr>
              <w:t>Реагентная система для определения концентрации хлора ионоселективным методом (электрод хлорный)</w:t>
            </w:r>
          </w:p>
        </w:tc>
        <w:tc>
          <w:tcPr>
            <w:tcW w:w="3001" w:type="pct"/>
            <w:tcBorders>
              <w:top w:val="single" w:sz="4" w:space="0" w:color="auto"/>
              <w:left w:val="single" w:sz="4" w:space="0" w:color="auto"/>
              <w:bottom w:val="single" w:sz="4" w:space="0" w:color="auto"/>
              <w:right w:val="single" w:sz="4" w:space="0" w:color="auto"/>
            </w:tcBorders>
            <w:vAlign w:val="center"/>
          </w:tcPr>
          <w:p w14:paraId="7C66DD75"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1. предназначен для применения на анализаторах серии </w:t>
            </w:r>
            <w:r>
              <w:rPr>
                <w:rFonts w:ascii="Times New Roman" w:hAnsi="Times New Roman" w:cs="Times New Roman"/>
                <w:sz w:val="24"/>
                <w:szCs w:val="24"/>
                <w:lang w:val="en-US"/>
              </w:rPr>
              <w:t>AU</w:t>
            </w:r>
            <w:r>
              <w:rPr>
                <w:rFonts w:ascii="Times New Roman" w:hAnsi="Times New Roman" w:cs="Times New Roman"/>
                <w:sz w:val="24"/>
                <w:szCs w:val="24"/>
              </w:rPr>
              <w:t>, BeckmanCoulter</w:t>
            </w:r>
          </w:p>
          <w:p w14:paraId="114AD36F"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рассчитан на выполнение не менее 20 000 исследований</w:t>
            </w:r>
          </w:p>
          <w:p w14:paraId="7E9DFB99" w14:textId="77777777" w:rsidR="003F413B" w:rsidRDefault="003F413B">
            <w:pPr>
              <w:spacing w:after="0" w:line="240" w:lineRule="auto"/>
              <w:contextualSpacing/>
              <w:jc w:val="both"/>
              <w:rPr>
                <w:rFonts w:ascii="Times New Roman" w:hAnsi="Times New Roman" w:cs="Times New Roman"/>
                <w:color w:val="FF0000"/>
                <w:sz w:val="24"/>
                <w:szCs w:val="24"/>
              </w:rPr>
            </w:pPr>
          </w:p>
        </w:tc>
        <w:tc>
          <w:tcPr>
            <w:tcW w:w="693" w:type="pct"/>
            <w:tcBorders>
              <w:top w:val="single" w:sz="4" w:space="0" w:color="auto"/>
              <w:left w:val="single" w:sz="4" w:space="0" w:color="auto"/>
              <w:bottom w:val="single" w:sz="4" w:space="0" w:color="auto"/>
              <w:right w:val="single" w:sz="4" w:space="0" w:color="auto"/>
            </w:tcBorders>
            <w:vAlign w:val="center"/>
            <w:hideMark/>
          </w:tcPr>
          <w:p w14:paraId="0DCA1838" w14:textId="77777777" w:rsidR="003F413B" w:rsidRDefault="003F413B">
            <w:pPr>
              <w:spacing w:after="0" w:line="240" w:lineRule="auto"/>
              <w:contextualSpacing/>
              <w:jc w:val="center"/>
              <w:rPr>
                <w:rFonts w:ascii="Times New Roman" w:hAnsi="Times New Roman" w:cs="Times New Roman"/>
                <w:color w:val="FF0000"/>
                <w:sz w:val="24"/>
                <w:szCs w:val="24"/>
              </w:rPr>
            </w:pPr>
            <w:r>
              <w:rPr>
                <w:rFonts w:ascii="Times New Roman" w:hAnsi="Times New Roman" w:cs="Times New Roman"/>
                <w:color w:val="FF0000"/>
                <w:sz w:val="24"/>
                <w:szCs w:val="24"/>
              </w:rPr>
              <w:t>2 шт</w:t>
            </w:r>
          </w:p>
        </w:tc>
      </w:tr>
      <w:tr w:rsidR="00FB1018" w14:paraId="3BECDDE8" w14:textId="77777777" w:rsidTr="00FB1018">
        <w:trPr>
          <w:jc w:val="center"/>
        </w:trPr>
        <w:tc>
          <w:tcPr>
            <w:tcW w:w="293" w:type="pct"/>
            <w:tcBorders>
              <w:top w:val="single" w:sz="4" w:space="0" w:color="auto"/>
              <w:left w:val="single" w:sz="4" w:space="0" w:color="auto"/>
              <w:bottom w:val="single" w:sz="4" w:space="0" w:color="auto"/>
              <w:right w:val="single" w:sz="4" w:space="0" w:color="auto"/>
            </w:tcBorders>
            <w:vAlign w:val="center"/>
          </w:tcPr>
          <w:p w14:paraId="00FB101B" w14:textId="77777777" w:rsidR="003F413B" w:rsidRDefault="003F413B" w:rsidP="003F413B">
            <w:pPr>
              <w:pStyle w:val="a7"/>
              <w:numPr>
                <w:ilvl w:val="0"/>
                <w:numId w:val="4"/>
              </w:numPr>
              <w:spacing w:line="256" w:lineRule="auto"/>
              <w:ind w:left="0" w:firstLine="0"/>
              <w:rPr>
                <w:sz w:val="24"/>
                <w:szCs w:val="24"/>
              </w:rPr>
            </w:pPr>
          </w:p>
        </w:tc>
        <w:tc>
          <w:tcPr>
            <w:tcW w:w="1013" w:type="pct"/>
            <w:tcBorders>
              <w:top w:val="single" w:sz="4" w:space="0" w:color="auto"/>
              <w:left w:val="single" w:sz="4" w:space="0" w:color="auto"/>
              <w:bottom w:val="single" w:sz="4" w:space="0" w:color="auto"/>
              <w:right w:val="single" w:sz="4" w:space="0" w:color="auto"/>
            </w:tcBorders>
            <w:vAlign w:val="center"/>
            <w:hideMark/>
          </w:tcPr>
          <w:p w14:paraId="3AA58AF0"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Референсная реагентная система для определения концентрации электролитов ионоселективным методом (референсный электрод)</w:t>
            </w:r>
          </w:p>
        </w:tc>
        <w:tc>
          <w:tcPr>
            <w:tcW w:w="3001" w:type="pct"/>
            <w:tcBorders>
              <w:top w:val="single" w:sz="4" w:space="0" w:color="auto"/>
              <w:left w:val="single" w:sz="4" w:space="0" w:color="auto"/>
              <w:bottom w:val="single" w:sz="4" w:space="0" w:color="auto"/>
              <w:right w:val="single" w:sz="4" w:space="0" w:color="auto"/>
            </w:tcBorders>
            <w:vAlign w:val="center"/>
          </w:tcPr>
          <w:p w14:paraId="7BCFFCB1"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1. предназначен для применения на анализаторах серии </w:t>
            </w:r>
            <w:r>
              <w:rPr>
                <w:rFonts w:ascii="Times New Roman" w:hAnsi="Times New Roman" w:cs="Times New Roman"/>
                <w:sz w:val="24"/>
                <w:szCs w:val="24"/>
                <w:lang w:val="en-US"/>
              </w:rPr>
              <w:t>AU</w:t>
            </w:r>
            <w:r>
              <w:rPr>
                <w:rFonts w:ascii="Times New Roman" w:hAnsi="Times New Roman" w:cs="Times New Roman"/>
                <w:sz w:val="24"/>
                <w:szCs w:val="24"/>
              </w:rPr>
              <w:t>, BeckmanCoulter</w:t>
            </w:r>
          </w:p>
          <w:p w14:paraId="751DFFFE"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рассчитан на выполнение не менее 150 000 исследований</w:t>
            </w:r>
          </w:p>
          <w:p w14:paraId="1AF2B07B" w14:textId="77777777" w:rsidR="003F413B" w:rsidRDefault="003F413B">
            <w:pPr>
              <w:spacing w:after="0" w:line="240" w:lineRule="auto"/>
              <w:contextualSpacing/>
              <w:jc w:val="both"/>
              <w:rPr>
                <w:rFonts w:ascii="Times New Roman" w:hAnsi="Times New Roman" w:cs="Times New Roman"/>
                <w:sz w:val="24"/>
                <w:szCs w:val="24"/>
              </w:rPr>
            </w:pPr>
          </w:p>
        </w:tc>
        <w:tc>
          <w:tcPr>
            <w:tcW w:w="693" w:type="pct"/>
            <w:tcBorders>
              <w:top w:val="single" w:sz="4" w:space="0" w:color="auto"/>
              <w:left w:val="single" w:sz="4" w:space="0" w:color="auto"/>
              <w:bottom w:val="single" w:sz="4" w:space="0" w:color="auto"/>
              <w:right w:val="single" w:sz="4" w:space="0" w:color="auto"/>
            </w:tcBorders>
            <w:vAlign w:val="center"/>
            <w:hideMark/>
          </w:tcPr>
          <w:p w14:paraId="6B69263D"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1шт</w:t>
            </w:r>
          </w:p>
        </w:tc>
      </w:tr>
    </w:tbl>
    <w:p w14:paraId="0909EEEB" w14:textId="77777777" w:rsidR="003F413B" w:rsidRDefault="003F413B" w:rsidP="003F413B">
      <w:pPr>
        <w:shd w:val="clear" w:color="auto" w:fill="FFFFFF"/>
        <w:spacing w:after="0" w:line="240" w:lineRule="auto"/>
        <w:contextualSpacing/>
        <w:jc w:val="both"/>
        <w:rPr>
          <w:rFonts w:ascii="Times New Roman" w:hAnsi="Times New Roman" w:cs="Times New Roman"/>
          <w:b/>
          <w:bCs/>
          <w:sz w:val="24"/>
          <w:szCs w:val="24"/>
        </w:rPr>
      </w:pPr>
    </w:p>
    <w:p w14:paraId="5D1F547B" w14:textId="77777777" w:rsidR="003F413B" w:rsidRDefault="003F413B" w:rsidP="003F413B">
      <w:pPr>
        <w:shd w:val="clear" w:color="auto" w:fill="FFFFFF"/>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Лот 2 Контрольные материалы для биохимического анализатора </w:t>
      </w:r>
      <w:r>
        <w:rPr>
          <w:rFonts w:ascii="Times New Roman" w:hAnsi="Times New Roman" w:cs="Times New Roman"/>
          <w:b/>
          <w:bCs/>
          <w:sz w:val="24"/>
          <w:szCs w:val="24"/>
          <w:lang w:val="en-US"/>
        </w:rPr>
        <w:t>Beckman</w:t>
      </w:r>
      <w:r w:rsidRPr="003F413B">
        <w:rPr>
          <w:rFonts w:ascii="Times New Roman" w:hAnsi="Times New Roman" w:cs="Times New Roman"/>
          <w:b/>
          <w:bCs/>
          <w:sz w:val="24"/>
          <w:szCs w:val="24"/>
        </w:rPr>
        <w:t xml:space="preserve"> </w:t>
      </w:r>
      <w:r>
        <w:rPr>
          <w:rFonts w:ascii="Times New Roman" w:hAnsi="Times New Roman" w:cs="Times New Roman"/>
          <w:b/>
          <w:bCs/>
          <w:sz w:val="24"/>
          <w:szCs w:val="24"/>
          <w:lang w:val="en-US"/>
        </w:rPr>
        <w:t>CoulterAU</w:t>
      </w:r>
      <w:r>
        <w:rPr>
          <w:rFonts w:ascii="Times New Roman" w:hAnsi="Times New Roman" w:cs="Times New Roman"/>
          <w:b/>
          <w:bCs/>
          <w:sz w:val="24"/>
          <w:szCs w:val="24"/>
        </w:rPr>
        <w:t xml:space="preserve">– 480 </w:t>
      </w:r>
    </w:p>
    <w:p w14:paraId="15F8EBD8" w14:textId="77777777" w:rsidR="003F413B" w:rsidRDefault="003F413B" w:rsidP="003F413B">
      <w:pPr>
        <w:shd w:val="clear" w:color="auto" w:fill="FFFFFF"/>
        <w:spacing w:after="0" w:line="240" w:lineRule="auto"/>
        <w:contextualSpacing/>
        <w:jc w:val="both"/>
        <w:rPr>
          <w:rFonts w:ascii="Times New Roman" w:hAnsi="Times New Roman" w:cs="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1837"/>
        <w:gridCol w:w="5540"/>
        <w:gridCol w:w="1256"/>
      </w:tblGrid>
      <w:tr w:rsidR="00FB1018" w14:paraId="33356092" w14:textId="77777777" w:rsidTr="00FB1018">
        <w:trPr>
          <w:jc w:val="center"/>
        </w:trPr>
        <w:tc>
          <w:tcPr>
            <w:tcW w:w="381" w:type="pct"/>
            <w:tcBorders>
              <w:top w:val="single" w:sz="4" w:space="0" w:color="auto"/>
              <w:left w:val="single" w:sz="4" w:space="0" w:color="auto"/>
              <w:bottom w:val="single" w:sz="4" w:space="0" w:color="auto"/>
              <w:right w:val="single" w:sz="4" w:space="0" w:color="auto"/>
            </w:tcBorders>
            <w:vAlign w:val="center"/>
          </w:tcPr>
          <w:p w14:paraId="097C8C4C" w14:textId="77777777" w:rsidR="003F413B" w:rsidRDefault="003F413B">
            <w:pPr>
              <w:shd w:val="clear" w:color="auto" w:fill="FFFFFF"/>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p w14:paraId="0A1EF663" w14:textId="77777777" w:rsidR="003F413B" w:rsidRDefault="003F413B">
            <w:pPr>
              <w:spacing w:after="0" w:line="240" w:lineRule="auto"/>
              <w:contextualSpacing/>
              <w:rPr>
                <w:rFonts w:ascii="Times New Roman"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vAlign w:val="center"/>
            <w:hideMark/>
          </w:tcPr>
          <w:p w14:paraId="60DEDEF9"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Контроль ЛПВП/ЛПНП холестерина</w:t>
            </w:r>
          </w:p>
        </w:tc>
        <w:tc>
          <w:tcPr>
            <w:tcW w:w="2964" w:type="pct"/>
            <w:tcBorders>
              <w:top w:val="single" w:sz="4" w:space="0" w:color="auto"/>
              <w:left w:val="single" w:sz="4" w:space="0" w:color="auto"/>
              <w:bottom w:val="single" w:sz="4" w:space="0" w:color="auto"/>
              <w:right w:val="single" w:sz="4" w:space="0" w:color="auto"/>
            </w:tcBorders>
            <w:hideMark/>
          </w:tcPr>
          <w:p w14:paraId="611CDA56"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предназначен для применения с предлагаемыми реагентами;</w:t>
            </w:r>
          </w:p>
          <w:p w14:paraId="2AF0F3F4"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контрольна основе человеческого материала;</w:t>
            </w:r>
          </w:p>
          <w:p w14:paraId="78CBA1E4"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в состав набора должно входить не менее, чем по 3 флакона каждого уровня объемом не менее 5,0 мл каждый</w:t>
            </w:r>
          </w:p>
        </w:tc>
        <w:tc>
          <w:tcPr>
            <w:tcW w:w="672" w:type="pct"/>
            <w:tcBorders>
              <w:top w:val="single" w:sz="4" w:space="0" w:color="auto"/>
              <w:left w:val="single" w:sz="4" w:space="0" w:color="auto"/>
              <w:bottom w:val="single" w:sz="4" w:space="0" w:color="auto"/>
              <w:right w:val="single" w:sz="4" w:space="0" w:color="auto"/>
            </w:tcBorders>
            <w:vAlign w:val="center"/>
          </w:tcPr>
          <w:p w14:paraId="370EA842" w14:textId="77777777" w:rsidR="003F413B" w:rsidRDefault="003F413B">
            <w:pPr>
              <w:shd w:val="clear" w:color="auto" w:fill="FFFFFF"/>
              <w:jc w:val="both"/>
              <w:rPr>
                <w:sz w:val="24"/>
                <w:szCs w:val="24"/>
              </w:rPr>
            </w:pPr>
            <w:r>
              <w:rPr>
                <w:sz w:val="24"/>
                <w:szCs w:val="24"/>
              </w:rPr>
              <w:t>3 наб.</w:t>
            </w:r>
          </w:p>
          <w:p w14:paraId="4859AC57"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p>
        </w:tc>
      </w:tr>
      <w:tr w:rsidR="00FB1018" w14:paraId="7CD2DDAF" w14:textId="77777777" w:rsidTr="00FB1018">
        <w:trPr>
          <w:trHeight w:val="995"/>
          <w:jc w:val="center"/>
        </w:trPr>
        <w:tc>
          <w:tcPr>
            <w:tcW w:w="381" w:type="pct"/>
            <w:tcBorders>
              <w:top w:val="single" w:sz="4" w:space="0" w:color="auto"/>
              <w:left w:val="single" w:sz="4" w:space="0" w:color="auto"/>
              <w:bottom w:val="single" w:sz="4" w:space="0" w:color="auto"/>
              <w:right w:val="single" w:sz="4" w:space="0" w:color="auto"/>
            </w:tcBorders>
            <w:vAlign w:val="center"/>
            <w:hideMark/>
          </w:tcPr>
          <w:p w14:paraId="21C68826"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983" w:type="pct"/>
            <w:tcBorders>
              <w:top w:val="single" w:sz="4" w:space="0" w:color="auto"/>
              <w:left w:val="single" w:sz="4" w:space="0" w:color="auto"/>
              <w:bottom w:val="single" w:sz="4" w:space="0" w:color="auto"/>
              <w:right w:val="single" w:sz="4" w:space="0" w:color="auto"/>
            </w:tcBorders>
            <w:vAlign w:val="center"/>
            <w:hideMark/>
          </w:tcPr>
          <w:p w14:paraId="5861DBBE"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Контрольная сыворотка специфических белков, уровень 1</w:t>
            </w:r>
          </w:p>
        </w:tc>
        <w:tc>
          <w:tcPr>
            <w:tcW w:w="2964" w:type="pct"/>
            <w:tcBorders>
              <w:top w:val="single" w:sz="4" w:space="0" w:color="auto"/>
              <w:left w:val="single" w:sz="4" w:space="0" w:color="auto"/>
              <w:bottom w:val="single" w:sz="4" w:space="0" w:color="auto"/>
              <w:right w:val="single" w:sz="4" w:space="0" w:color="auto"/>
            </w:tcBorders>
            <w:hideMark/>
          </w:tcPr>
          <w:p w14:paraId="3D37DBDE"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1.аттестована по следующим показателям: антистрептолизин-О, C-реактивный белок, ферритин, ревматоидный фактор, трансферрин, С3, С4, иммуноглобулины А, М, G, церулоплазмин, β2-микроглобулин, α1-антитрипсин, α1-кислый гликопротеин, преальбумин, гаптоглобин;</w:t>
            </w:r>
          </w:p>
          <w:p w14:paraId="22FAB74E"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предназначена для использования совместно с предлагаемыми соответствующими реагентами;</w:t>
            </w:r>
          </w:p>
          <w:p w14:paraId="0756F525"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жидкий контроль на основе человеческого материала;</w:t>
            </w:r>
          </w:p>
          <w:p w14:paraId="2E073CB2"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в наборе не менее 6 флаконов объемом не менее 1,0 мл каждый;</w:t>
            </w:r>
          </w:p>
          <w:p w14:paraId="66B0519A"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стабильность после вскрытия не менее 30 дней</w:t>
            </w:r>
          </w:p>
        </w:tc>
        <w:tc>
          <w:tcPr>
            <w:tcW w:w="672" w:type="pct"/>
            <w:tcBorders>
              <w:top w:val="single" w:sz="4" w:space="0" w:color="auto"/>
              <w:left w:val="single" w:sz="4" w:space="0" w:color="auto"/>
              <w:bottom w:val="single" w:sz="4" w:space="0" w:color="auto"/>
              <w:right w:val="single" w:sz="4" w:space="0" w:color="auto"/>
            </w:tcBorders>
            <w:vAlign w:val="center"/>
          </w:tcPr>
          <w:p w14:paraId="15377217"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5 наб.</w:t>
            </w:r>
          </w:p>
          <w:p w14:paraId="0B209A79"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p>
        </w:tc>
      </w:tr>
      <w:tr w:rsidR="00FB1018" w14:paraId="6E7B7751" w14:textId="77777777" w:rsidTr="00FB1018">
        <w:trPr>
          <w:jc w:val="center"/>
        </w:trPr>
        <w:tc>
          <w:tcPr>
            <w:tcW w:w="381" w:type="pct"/>
            <w:tcBorders>
              <w:top w:val="single" w:sz="4" w:space="0" w:color="auto"/>
              <w:left w:val="single" w:sz="4" w:space="0" w:color="auto"/>
              <w:bottom w:val="single" w:sz="4" w:space="0" w:color="auto"/>
              <w:right w:val="single" w:sz="4" w:space="0" w:color="auto"/>
            </w:tcBorders>
            <w:vAlign w:val="center"/>
            <w:hideMark/>
          </w:tcPr>
          <w:p w14:paraId="408F7896"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983" w:type="pct"/>
            <w:tcBorders>
              <w:top w:val="single" w:sz="4" w:space="0" w:color="auto"/>
              <w:left w:val="single" w:sz="4" w:space="0" w:color="auto"/>
              <w:bottom w:val="single" w:sz="4" w:space="0" w:color="auto"/>
              <w:right w:val="single" w:sz="4" w:space="0" w:color="auto"/>
            </w:tcBorders>
            <w:vAlign w:val="center"/>
            <w:hideMark/>
          </w:tcPr>
          <w:p w14:paraId="5B11EFA0"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Контрольная сыворотка специфических белков, уровень 2</w:t>
            </w:r>
          </w:p>
        </w:tc>
        <w:tc>
          <w:tcPr>
            <w:tcW w:w="2964" w:type="pct"/>
            <w:tcBorders>
              <w:top w:val="single" w:sz="4" w:space="0" w:color="auto"/>
              <w:left w:val="single" w:sz="4" w:space="0" w:color="auto"/>
              <w:bottom w:val="single" w:sz="4" w:space="0" w:color="auto"/>
              <w:right w:val="single" w:sz="4" w:space="0" w:color="auto"/>
            </w:tcBorders>
            <w:hideMark/>
          </w:tcPr>
          <w:p w14:paraId="5A22C4DC"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1.аттестована по следующим показателям: антистрептолизин-О, C-реактивный белок, ферритин, ревматоидный фактор, трансферрин, С3, С4, иммуноглобулины А, М, G, церулоплазмин, β2-микроглобулин, α1-антитрипсин, α1-кислый гликопротеин, преальбумин, гаптоглобин;</w:t>
            </w:r>
          </w:p>
          <w:p w14:paraId="02E70FCE"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предназначена для использования совместно с предлагаемыми соответствующими реагентами;</w:t>
            </w:r>
          </w:p>
          <w:p w14:paraId="75560A2E"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жидкий контроль на основе человеческого материала;</w:t>
            </w:r>
          </w:p>
          <w:p w14:paraId="00D17756"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в наборе не менее 6 флаконов объемом не менее 1,0 мл каждый;</w:t>
            </w:r>
          </w:p>
          <w:p w14:paraId="7EDBC294"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стабильность после вскрытия не менее 30 дней</w:t>
            </w:r>
          </w:p>
        </w:tc>
        <w:tc>
          <w:tcPr>
            <w:tcW w:w="672" w:type="pct"/>
            <w:tcBorders>
              <w:top w:val="single" w:sz="4" w:space="0" w:color="auto"/>
              <w:left w:val="single" w:sz="4" w:space="0" w:color="auto"/>
              <w:bottom w:val="single" w:sz="4" w:space="0" w:color="auto"/>
              <w:right w:val="single" w:sz="4" w:space="0" w:color="auto"/>
            </w:tcBorders>
            <w:vAlign w:val="center"/>
          </w:tcPr>
          <w:p w14:paraId="4FC4ABA4"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наб.</w:t>
            </w:r>
          </w:p>
          <w:p w14:paraId="46F98BF8"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p>
        </w:tc>
      </w:tr>
      <w:tr w:rsidR="00FB1018" w14:paraId="5DC2DDB5" w14:textId="77777777" w:rsidTr="00FB1018">
        <w:trPr>
          <w:jc w:val="center"/>
        </w:trPr>
        <w:tc>
          <w:tcPr>
            <w:tcW w:w="381" w:type="pct"/>
            <w:tcBorders>
              <w:top w:val="single" w:sz="4" w:space="0" w:color="auto"/>
              <w:left w:val="single" w:sz="4" w:space="0" w:color="auto"/>
              <w:bottom w:val="single" w:sz="4" w:space="0" w:color="auto"/>
              <w:right w:val="single" w:sz="4" w:space="0" w:color="auto"/>
            </w:tcBorders>
            <w:vAlign w:val="center"/>
            <w:hideMark/>
          </w:tcPr>
          <w:p w14:paraId="119D508B"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983" w:type="pct"/>
            <w:tcBorders>
              <w:top w:val="single" w:sz="4" w:space="0" w:color="auto"/>
              <w:left w:val="single" w:sz="4" w:space="0" w:color="auto"/>
              <w:bottom w:val="single" w:sz="4" w:space="0" w:color="auto"/>
              <w:right w:val="single" w:sz="4" w:space="0" w:color="auto"/>
            </w:tcBorders>
            <w:vAlign w:val="center"/>
            <w:hideMark/>
          </w:tcPr>
          <w:p w14:paraId="5B27B08C"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Контрольная сыворотка специфических белков, уровень 3</w:t>
            </w:r>
          </w:p>
        </w:tc>
        <w:tc>
          <w:tcPr>
            <w:tcW w:w="2964" w:type="pct"/>
            <w:tcBorders>
              <w:top w:val="single" w:sz="4" w:space="0" w:color="auto"/>
              <w:left w:val="single" w:sz="4" w:space="0" w:color="auto"/>
              <w:bottom w:val="single" w:sz="4" w:space="0" w:color="auto"/>
              <w:right w:val="single" w:sz="4" w:space="0" w:color="auto"/>
            </w:tcBorders>
            <w:hideMark/>
          </w:tcPr>
          <w:p w14:paraId="1CACD2B6"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1.аттестована по следующим показателям: антистрептолизин-О, C-реактивный белок, ферритин, ревматоидный фактор, трансферрин, С3, С4, иммуноглобулины А, М, G, церулоплазмин, β2-микроглобулин, α1-антитрипсин, α1-кислый гликопротеин, преальбумин, гаптоглобин;</w:t>
            </w:r>
          </w:p>
          <w:p w14:paraId="2D1C6084"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предназначена для использования совместно с предлагаемыми соответствующими реагентами;</w:t>
            </w:r>
          </w:p>
          <w:p w14:paraId="34AF7DF9"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жидкий контроль на основе человеческого материала;</w:t>
            </w:r>
          </w:p>
          <w:p w14:paraId="4B808103"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в наборе не менее 6 флаконов объемом не менее 1,0 мл каждый;</w:t>
            </w:r>
          </w:p>
          <w:p w14:paraId="1BE23BD7"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стабильность после вскрытия не менее 30 дней</w:t>
            </w:r>
          </w:p>
        </w:tc>
        <w:tc>
          <w:tcPr>
            <w:tcW w:w="672" w:type="pct"/>
            <w:tcBorders>
              <w:top w:val="single" w:sz="4" w:space="0" w:color="auto"/>
              <w:left w:val="single" w:sz="4" w:space="0" w:color="auto"/>
              <w:bottom w:val="single" w:sz="4" w:space="0" w:color="auto"/>
              <w:right w:val="single" w:sz="4" w:space="0" w:color="auto"/>
            </w:tcBorders>
            <w:vAlign w:val="center"/>
          </w:tcPr>
          <w:p w14:paraId="511E6239"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наб.</w:t>
            </w:r>
          </w:p>
          <w:p w14:paraId="15AB0A9D"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p>
        </w:tc>
      </w:tr>
      <w:tr w:rsidR="00FB1018" w14:paraId="50FD3B66" w14:textId="77777777" w:rsidTr="00FB1018">
        <w:trPr>
          <w:jc w:val="center"/>
        </w:trPr>
        <w:tc>
          <w:tcPr>
            <w:tcW w:w="381" w:type="pct"/>
            <w:tcBorders>
              <w:top w:val="single" w:sz="4" w:space="0" w:color="auto"/>
              <w:left w:val="single" w:sz="4" w:space="0" w:color="auto"/>
              <w:bottom w:val="single" w:sz="4" w:space="0" w:color="auto"/>
              <w:right w:val="single" w:sz="4" w:space="0" w:color="auto"/>
            </w:tcBorders>
            <w:vAlign w:val="center"/>
            <w:hideMark/>
          </w:tcPr>
          <w:p w14:paraId="17C05D32"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14:paraId="49C404FB"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Контрольная сыворотка, уровень 1</w:t>
            </w:r>
          </w:p>
        </w:tc>
        <w:tc>
          <w:tcPr>
            <w:tcW w:w="2964" w:type="pct"/>
            <w:tcBorders>
              <w:top w:val="single" w:sz="4" w:space="0" w:color="auto"/>
              <w:left w:val="single" w:sz="4" w:space="0" w:color="auto"/>
              <w:bottom w:val="single" w:sz="4" w:space="0" w:color="auto"/>
              <w:right w:val="single" w:sz="4" w:space="0" w:color="auto"/>
            </w:tcBorders>
            <w:vAlign w:val="center"/>
            <w:hideMark/>
          </w:tcPr>
          <w:p w14:paraId="7FFFE566"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аттестована по следующим параметрам: общий билирубин, прямой билирубин, холинэстераза, кислая фосфатаза, АЛАТ, АСАТ, амилаза, щелочная фосфатаза, креатинкиназа, ГГТП, ЛДГ, липаза, неорганический фосфор, кальций, хлориды, калий, натрий, железо, НЖСС, лактат, магний, триглицериды, холестерин, апоА1, общий белок, альбумин, мочевина, креатинин, мочевая кислота, глюкоза;</w:t>
            </w:r>
          </w:p>
          <w:p w14:paraId="1710808E"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предназначен для использования совместно с предлагаемыми соответствующими реагентами;</w:t>
            </w:r>
          </w:p>
          <w:p w14:paraId="6F207CDB"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контроль на основе человеческого материала;</w:t>
            </w:r>
          </w:p>
          <w:p w14:paraId="4C62E361"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в составе не менее 12 флаконов объемом не менее 5,0 мл каждый</w:t>
            </w:r>
          </w:p>
        </w:tc>
        <w:tc>
          <w:tcPr>
            <w:tcW w:w="672" w:type="pct"/>
            <w:tcBorders>
              <w:top w:val="single" w:sz="4" w:space="0" w:color="auto"/>
              <w:left w:val="single" w:sz="4" w:space="0" w:color="auto"/>
              <w:bottom w:val="single" w:sz="4" w:space="0" w:color="auto"/>
              <w:right w:val="single" w:sz="4" w:space="0" w:color="auto"/>
            </w:tcBorders>
            <w:vAlign w:val="center"/>
          </w:tcPr>
          <w:p w14:paraId="08B9E9F7"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 наб.</w:t>
            </w:r>
          </w:p>
          <w:p w14:paraId="5F516785"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p>
        </w:tc>
      </w:tr>
      <w:tr w:rsidR="00FB1018" w14:paraId="7149EB80" w14:textId="77777777" w:rsidTr="00FB1018">
        <w:trPr>
          <w:trHeight w:val="570"/>
          <w:jc w:val="center"/>
        </w:trPr>
        <w:tc>
          <w:tcPr>
            <w:tcW w:w="381" w:type="pct"/>
            <w:tcBorders>
              <w:top w:val="single" w:sz="4" w:space="0" w:color="auto"/>
              <w:left w:val="single" w:sz="4" w:space="0" w:color="auto"/>
              <w:bottom w:val="single" w:sz="4" w:space="0" w:color="auto"/>
              <w:right w:val="single" w:sz="4" w:space="0" w:color="auto"/>
            </w:tcBorders>
            <w:vAlign w:val="center"/>
            <w:hideMark/>
          </w:tcPr>
          <w:p w14:paraId="1DDC88FB"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983" w:type="pct"/>
            <w:tcBorders>
              <w:top w:val="single" w:sz="4" w:space="0" w:color="auto"/>
              <w:left w:val="single" w:sz="4" w:space="0" w:color="auto"/>
              <w:bottom w:val="single" w:sz="4" w:space="0" w:color="auto"/>
              <w:right w:val="single" w:sz="4" w:space="0" w:color="auto"/>
            </w:tcBorders>
            <w:vAlign w:val="center"/>
            <w:hideMark/>
          </w:tcPr>
          <w:p w14:paraId="307FBF41"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Контрольная сыворотка, уровень 2</w:t>
            </w:r>
          </w:p>
        </w:tc>
        <w:tc>
          <w:tcPr>
            <w:tcW w:w="2964" w:type="pct"/>
            <w:tcBorders>
              <w:top w:val="single" w:sz="4" w:space="0" w:color="auto"/>
              <w:left w:val="single" w:sz="4" w:space="0" w:color="auto"/>
              <w:bottom w:val="single" w:sz="4" w:space="0" w:color="auto"/>
              <w:right w:val="single" w:sz="4" w:space="0" w:color="auto"/>
            </w:tcBorders>
            <w:vAlign w:val="center"/>
            <w:hideMark/>
          </w:tcPr>
          <w:p w14:paraId="2FD8F1B0"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аттестована по следующим параметрам: общий билирубин, прямой билирубин, холинэстераза, кислая фосфатаза, АЛАТ, АСАТ, амилаза, щелочная фосфатаза, креатинкиназа, ГГТП, ЛДГ, липаза, неорганический фосфор, кальций, хлориды, калий, натрий, железо, НЖСС, лактат, магний, триглицериды, холестерин, апоА1, апоВ, общий белок, альбумин, мочевина, креатинин, мочевая кислота, глюкоза;</w:t>
            </w:r>
          </w:p>
          <w:p w14:paraId="30BCB4F2"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предназначен для использования совместно с предлагаемыми соответствующими реагентами;</w:t>
            </w:r>
          </w:p>
          <w:p w14:paraId="527670BE"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контроль на основе человеческого материала;</w:t>
            </w:r>
          </w:p>
          <w:p w14:paraId="24D01825"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4. в составе набора не менее 12 флаконов объемом не менее 5,0 мл каждый</w:t>
            </w:r>
          </w:p>
        </w:tc>
        <w:tc>
          <w:tcPr>
            <w:tcW w:w="672" w:type="pct"/>
            <w:tcBorders>
              <w:top w:val="single" w:sz="4" w:space="0" w:color="auto"/>
              <w:left w:val="single" w:sz="4" w:space="0" w:color="auto"/>
              <w:bottom w:val="single" w:sz="4" w:space="0" w:color="auto"/>
              <w:right w:val="single" w:sz="4" w:space="0" w:color="auto"/>
            </w:tcBorders>
            <w:vAlign w:val="center"/>
          </w:tcPr>
          <w:p w14:paraId="5E3B053A"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6 наб.</w:t>
            </w:r>
          </w:p>
          <w:p w14:paraId="19446E58"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p>
        </w:tc>
      </w:tr>
      <w:tr w:rsidR="00FB1018" w14:paraId="34B01C94" w14:textId="77777777" w:rsidTr="00FB1018">
        <w:trPr>
          <w:trHeight w:val="2070"/>
          <w:jc w:val="center"/>
        </w:trPr>
        <w:tc>
          <w:tcPr>
            <w:tcW w:w="381" w:type="pct"/>
            <w:tcBorders>
              <w:top w:val="single" w:sz="4" w:space="0" w:color="auto"/>
              <w:left w:val="single" w:sz="4" w:space="0" w:color="auto"/>
              <w:bottom w:val="single" w:sz="4" w:space="0" w:color="auto"/>
              <w:right w:val="single" w:sz="4" w:space="0" w:color="auto"/>
            </w:tcBorders>
            <w:vAlign w:val="center"/>
          </w:tcPr>
          <w:p w14:paraId="3BDC7CEB" w14:textId="77777777" w:rsidR="003F413B" w:rsidRDefault="003F413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7.</w:t>
            </w:r>
          </w:p>
          <w:p w14:paraId="14B1211C" w14:textId="77777777" w:rsidR="003F413B" w:rsidRDefault="003F413B">
            <w:pPr>
              <w:spacing w:after="0" w:line="240" w:lineRule="auto"/>
              <w:contextualSpacing/>
              <w:rPr>
                <w:rFonts w:ascii="Times New Roman"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vAlign w:val="center"/>
            <w:hideMark/>
          </w:tcPr>
          <w:p w14:paraId="6A4FEB90"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Контроль С-реактивного белка высокой чувствительности</w:t>
            </w:r>
          </w:p>
        </w:tc>
        <w:tc>
          <w:tcPr>
            <w:tcW w:w="2964" w:type="pct"/>
            <w:tcBorders>
              <w:top w:val="single" w:sz="4" w:space="0" w:color="auto"/>
              <w:left w:val="single" w:sz="4" w:space="0" w:color="auto"/>
              <w:bottom w:val="single" w:sz="4" w:space="0" w:color="auto"/>
              <w:right w:val="single" w:sz="4" w:space="0" w:color="auto"/>
            </w:tcBorders>
            <w:vAlign w:val="center"/>
            <w:hideMark/>
          </w:tcPr>
          <w:p w14:paraId="170CDC97"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 предназначен для использования совместно с предлагаемыми реагентами;</w:t>
            </w:r>
          </w:p>
          <w:p w14:paraId="63774832"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жидкий контроль на основе человеческого материала;</w:t>
            </w:r>
          </w:p>
          <w:p w14:paraId="7219A0F8"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после вскрытия не менее 30 дней;</w:t>
            </w:r>
          </w:p>
          <w:p w14:paraId="5C413F21"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 в состав должно входить не менее 2 уровней контролей, каждого по не менее 2 флаконов по не менее 3,0 мл</w:t>
            </w:r>
          </w:p>
        </w:tc>
        <w:tc>
          <w:tcPr>
            <w:tcW w:w="672" w:type="pct"/>
            <w:tcBorders>
              <w:top w:val="single" w:sz="4" w:space="0" w:color="auto"/>
              <w:left w:val="single" w:sz="4" w:space="0" w:color="auto"/>
              <w:bottom w:val="single" w:sz="4" w:space="0" w:color="auto"/>
              <w:right w:val="single" w:sz="4" w:space="0" w:color="auto"/>
            </w:tcBorders>
            <w:vAlign w:val="center"/>
            <w:hideMark/>
          </w:tcPr>
          <w:p w14:paraId="4E1FCAB3" w14:textId="77777777" w:rsidR="003F413B" w:rsidRDefault="003F413B">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 наб.</w:t>
            </w:r>
          </w:p>
        </w:tc>
      </w:tr>
    </w:tbl>
    <w:p w14:paraId="634534A7" w14:textId="77777777" w:rsidR="003F413B" w:rsidRDefault="003F413B" w:rsidP="003F413B">
      <w:pPr>
        <w:shd w:val="clear" w:color="auto" w:fill="FFFFFF"/>
        <w:spacing w:after="0" w:line="240" w:lineRule="auto"/>
        <w:contextualSpacing/>
        <w:jc w:val="center"/>
        <w:rPr>
          <w:rFonts w:ascii="Times New Roman" w:hAnsi="Times New Roman" w:cs="Times New Roman"/>
          <w:b/>
          <w:bCs/>
          <w:sz w:val="24"/>
          <w:szCs w:val="24"/>
        </w:rPr>
      </w:pPr>
    </w:p>
    <w:p w14:paraId="7101D12B" w14:textId="77777777" w:rsidR="003F413B" w:rsidRDefault="003F413B" w:rsidP="003F413B">
      <w:pPr>
        <w:shd w:val="clear" w:color="auto" w:fill="FFFFFF"/>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Лот 3 Контрольные материалы для биохимического анализатора </w:t>
      </w:r>
      <w:r>
        <w:rPr>
          <w:rFonts w:ascii="Times New Roman" w:hAnsi="Times New Roman" w:cs="Times New Roman"/>
          <w:b/>
          <w:bCs/>
          <w:sz w:val="24"/>
          <w:szCs w:val="24"/>
          <w:lang w:val="en-US"/>
        </w:rPr>
        <w:t>Beckman</w:t>
      </w:r>
      <w:r w:rsidRPr="003F413B">
        <w:rPr>
          <w:rFonts w:ascii="Times New Roman" w:hAnsi="Times New Roman" w:cs="Times New Roman"/>
          <w:b/>
          <w:bCs/>
          <w:sz w:val="24"/>
          <w:szCs w:val="24"/>
        </w:rPr>
        <w:t xml:space="preserve"> </w:t>
      </w:r>
      <w:r>
        <w:rPr>
          <w:rFonts w:ascii="Times New Roman" w:hAnsi="Times New Roman" w:cs="Times New Roman"/>
          <w:b/>
          <w:bCs/>
          <w:sz w:val="24"/>
          <w:szCs w:val="24"/>
          <w:lang w:val="en-US"/>
        </w:rPr>
        <w:t>CoulterAU</w:t>
      </w:r>
      <w:r>
        <w:rPr>
          <w:rFonts w:ascii="Times New Roman" w:hAnsi="Times New Roman" w:cs="Times New Roman"/>
          <w:b/>
          <w:bCs/>
          <w:sz w:val="24"/>
          <w:szCs w:val="24"/>
        </w:rPr>
        <w:t xml:space="preserve">– 480 </w:t>
      </w:r>
    </w:p>
    <w:p w14:paraId="6DC24B0A" w14:textId="77777777" w:rsidR="003F413B" w:rsidRDefault="003F413B" w:rsidP="003F413B">
      <w:pPr>
        <w:shd w:val="clear" w:color="auto" w:fill="FFFFFF"/>
        <w:spacing w:after="0" w:line="240" w:lineRule="auto"/>
        <w:contextualSpacing/>
        <w:jc w:val="center"/>
        <w:rPr>
          <w:rFonts w:ascii="Times New Roman" w:hAnsi="Times New Roman" w:cs="Times New Roman"/>
          <w:b/>
          <w:bCs/>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843"/>
        <w:gridCol w:w="5330"/>
        <w:gridCol w:w="1609"/>
      </w:tblGrid>
      <w:tr w:rsidR="003F413B" w14:paraId="65F5C113" w14:textId="77777777" w:rsidTr="00FB1018">
        <w:trPr>
          <w:jc w:val="center"/>
        </w:trPr>
        <w:tc>
          <w:tcPr>
            <w:tcW w:w="301" w:type="pct"/>
            <w:tcBorders>
              <w:top w:val="single" w:sz="4" w:space="0" w:color="auto"/>
              <w:left w:val="single" w:sz="4" w:space="0" w:color="auto"/>
              <w:bottom w:val="single" w:sz="4" w:space="0" w:color="auto"/>
              <w:right w:val="single" w:sz="4" w:space="0" w:color="auto"/>
            </w:tcBorders>
            <w:vAlign w:val="center"/>
            <w:hideMark/>
          </w:tcPr>
          <w:p w14:paraId="51C5B88A" w14:textId="77777777" w:rsidR="003F413B" w:rsidRDefault="003F413B">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986" w:type="pct"/>
            <w:tcBorders>
              <w:top w:val="single" w:sz="4" w:space="0" w:color="auto"/>
              <w:left w:val="single" w:sz="4" w:space="0" w:color="auto"/>
              <w:bottom w:val="single" w:sz="4" w:space="0" w:color="auto"/>
              <w:right w:val="single" w:sz="4" w:space="0" w:color="auto"/>
            </w:tcBorders>
            <w:vAlign w:val="center"/>
            <w:hideMark/>
          </w:tcPr>
          <w:p w14:paraId="2945745B" w14:textId="77777777" w:rsidR="003F413B" w:rsidRDefault="003F413B">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Контроль для проверки селективности электролитов Na+ и K+</w:t>
            </w:r>
          </w:p>
        </w:tc>
        <w:tc>
          <w:tcPr>
            <w:tcW w:w="2852" w:type="pct"/>
            <w:tcBorders>
              <w:top w:val="single" w:sz="4" w:space="0" w:color="auto"/>
              <w:left w:val="single" w:sz="4" w:space="0" w:color="auto"/>
              <w:bottom w:val="single" w:sz="4" w:space="0" w:color="auto"/>
              <w:right w:val="single" w:sz="4" w:space="0" w:color="auto"/>
            </w:tcBorders>
            <w:vAlign w:val="center"/>
            <w:hideMark/>
          </w:tcPr>
          <w:p w14:paraId="688D81F3" w14:textId="77777777" w:rsidR="003F413B" w:rsidRDefault="003F413B">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1. предназначен для применения на анализаторах серии </w:t>
            </w:r>
            <w:r>
              <w:rPr>
                <w:rFonts w:ascii="Times New Roman" w:hAnsi="Times New Roman" w:cs="Times New Roman"/>
                <w:sz w:val="24"/>
                <w:szCs w:val="24"/>
                <w:lang w:val="en-US"/>
              </w:rPr>
              <w:t>AU</w:t>
            </w:r>
            <w:r>
              <w:rPr>
                <w:rFonts w:ascii="Times New Roman" w:hAnsi="Times New Roman" w:cs="Times New Roman"/>
                <w:sz w:val="24"/>
                <w:szCs w:val="24"/>
              </w:rPr>
              <w:t>, BeckmanCoulter;</w:t>
            </w:r>
          </w:p>
          <w:p w14:paraId="17BF3EA4"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в состав набора должно входить не менее 2 флаконов объемом не менее 25,0 мл каждый;</w:t>
            </w:r>
          </w:p>
          <w:p w14:paraId="1ED2DA9E" w14:textId="77777777" w:rsidR="003F413B" w:rsidRDefault="003F413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 стабильность после вскрытия не менее 90 дней.</w:t>
            </w:r>
          </w:p>
        </w:tc>
        <w:tc>
          <w:tcPr>
            <w:tcW w:w="861" w:type="pct"/>
            <w:tcBorders>
              <w:top w:val="single" w:sz="4" w:space="0" w:color="auto"/>
              <w:left w:val="single" w:sz="4" w:space="0" w:color="auto"/>
              <w:bottom w:val="single" w:sz="4" w:space="0" w:color="auto"/>
              <w:right w:val="single" w:sz="4" w:space="0" w:color="auto"/>
            </w:tcBorders>
            <w:vAlign w:val="center"/>
            <w:hideMark/>
          </w:tcPr>
          <w:p w14:paraId="1A19AC5A" w14:textId="77777777" w:rsidR="003F413B" w:rsidRDefault="003F413B">
            <w:pPr>
              <w:spacing w:after="0" w:line="24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 наб.</w:t>
            </w:r>
          </w:p>
        </w:tc>
      </w:tr>
    </w:tbl>
    <w:p w14:paraId="1FFCE194" w14:textId="77777777" w:rsidR="003F413B" w:rsidRDefault="003F413B" w:rsidP="003F413B">
      <w:pPr>
        <w:pStyle w:val="a7"/>
        <w:numPr>
          <w:ilvl w:val="1"/>
          <w:numId w:val="5"/>
        </w:numPr>
        <w:tabs>
          <w:tab w:val="left" w:pos="0"/>
        </w:tabs>
        <w:ind w:left="0" w:firstLine="0"/>
        <w:jc w:val="both"/>
        <w:rPr>
          <w:color w:val="000000"/>
          <w:sz w:val="24"/>
          <w:szCs w:val="24"/>
        </w:rPr>
      </w:pPr>
      <w:r>
        <w:rPr>
          <w:color w:val="000000"/>
          <w:sz w:val="24"/>
          <w:szCs w:val="24"/>
        </w:rPr>
        <w:t>*Поскольку закупаемые реагенты и расходные материалы являются компонентом аналитической лабораторно-диагностической системы, претендент должен гарантировать качество и совместимость предлагаемых товаров между собой и с анализатором AU480 (BeckmanCoulter). В целях подтверждения возможности обеспечения данных гарантийпретендент должен:</w:t>
      </w:r>
    </w:p>
    <w:p w14:paraId="43669EEA" w14:textId="77777777" w:rsidR="003F413B" w:rsidRDefault="003F413B" w:rsidP="003F413B">
      <w:pPr>
        <w:pStyle w:val="a7"/>
        <w:numPr>
          <w:ilvl w:val="2"/>
          <w:numId w:val="5"/>
        </w:numPr>
        <w:tabs>
          <w:tab w:val="left" w:pos="0"/>
          <w:tab w:val="left" w:pos="426"/>
        </w:tabs>
        <w:ind w:left="0" w:firstLine="0"/>
        <w:jc w:val="both"/>
        <w:rPr>
          <w:color w:val="000000"/>
          <w:sz w:val="24"/>
          <w:szCs w:val="24"/>
        </w:rPr>
      </w:pPr>
      <w:r>
        <w:rPr>
          <w:color w:val="000000"/>
          <w:sz w:val="24"/>
          <w:szCs w:val="24"/>
        </w:rPr>
        <w:t>Взять на себя обязательства по: наладке товаров; обучению лиц, осуществляющих эксплуатацию товаров;обеспечению проверки работоспособности аналитической лабораторно-диагностической системы заказчика на предмет получения корректных результатов лабораторных исследований проб биологического материала человека (в случае возникновения претензий по качеству и совместимости товаров);возмещению расходов на восстановление инструментального компонента в аналитической лабораторно-диагностической системе, в случае выхода его из строя по причине функциональной или технологической несовместимости предложенных товаров с анализатором (заключение о причине выхода из строя дает официальная сервисная служба, сертифицированная производителем анализатора).</w:t>
      </w:r>
    </w:p>
    <w:p w14:paraId="52EB6108" w14:textId="77777777" w:rsidR="003F413B" w:rsidRDefault="003F413B" w:rsidP="003F413B">
      <w:pPr>
        <w:pStyle w:val="a7"/>
        <w:numPr>
          <w:ilvl w:val="2"/>
          <w:numId w:val="5"/>
        </w:numPr>
        <w:tabs>
          <w:tab w:val="left" w:pos="0"/>
          <w:tab w:val="left" w:pos="426"/>
        </w:tabs>
        <w:ind w:left="0" w:firstLine="0"/>
        <w:jc w:val="both"/>
        <w:rPr>
          <w:color w:val="000000"/>
          <w:sz w:val="24"/>
          <w:szCs w:val="24"/>
        </w:rPr>
      </w:pPr>
      <w:r>
        <w:rPr>
          <w:color w:val="000000"/>
          <w:sz w:val="24"/>
          <w:szCs w:val="24"/>
        </w:rPr>
        <w:t>Представить документ (сертификат) от производителя оборудования, подтверждающий прохождение обучения специалистами претендента на право вмешательства в работу инструментальной и программной части анализаторов AU480 в целях наладки товаров, обучения лиц эксплуатации товаров на анализаторе, обеспечения проверки работоспособности аналитической лабораторно-диагностической системы.</w:t>
      </w:r>
    </w:p>
    <w:p w14:paraId="2AF64A92" w14:textId="77777777" w:rsidR="003F413B" w:rsidRDefault="003F413B" w:rsidP="003F413B">
      <w:pPr>
        <w:pStyle w:val="a7"/>
        <w:numPr>
          <w:ilvl w:val="1"/>
          <w:numId w:val="5"/>
        </w:numPr>
        <w:tabs>
          <w:tab w:val="left" w:pos="0"/>
          <w:tab w:val="left" w:pos="426"/>
        </w:tabs>
        <w:ind w:left="0" w:firstLine="0"/>
        <w:jc w:val="both"/>
        <w:rPr>
          <w:color w:val="000000"/>
          <w:sz w:val="24"/>
          <w:szCs w:val="24"/>
        </w:rPr>
      </w:pPr>
      <w:r>
        <w:rPr>
          <w:color w:val="000000"/>
          <w:sz w:val="24"/>
          <w:szCs w:val="24"/>
        </w:rPr>
        <w:t>Соответствие предлагаемых реагентов каждому пункту технических требований задания на закупку должно быть подтверждено документально (оригинальные инструкции по применению к наборам реагентов, контрольным и калибровочным материлов</w:t>
      </w:r>
    </w:p>
    <w:p w14:paraId="459794A3" w14:textId="77777777" w:rsidR="003F413B" w:rsidRDefault="003F413B" w:rsidP="003F413B">
      <w:pPr>
        <w:pStyle w:val="a7"/>
        <w:numPr>
          <w:ilvl w:val="0"/>
          <w:numId w:val="5"/>
        </w:numPr>
        <w:tabs>
          <w:tab w:val="left" w:pos="0"/>
        </w:tabs>
        <w:ind w:left="0" w:firstLine="0"/>
        <w:jc w:val="both"/>
        <w:rPr>
          <w:vanish/>
          <w:color w:val="000000"/>
          <w:sz w:val="24"/>
          <w:szCs w:val="24"/>
        </w:rPr>
      </w:pPr>
    </w:p>
    <w:p w14:paraId="632E03A2" w14:textId="77777777" w:rsidR="003F413B" w:rsidRDefault="003F413B" w:rsidP="003F413B">
      <w:pPr>
        <w:pStyle w:val="a7"/>
        <w:numPr>
          <w:ilvl w:val="0"/>
          <w:numId w:val="5"/>
        </w:numPr>
        <w:tabs>
          <w:tab w:val="left" w:pos="0"/>
        </w:tabs>
        <w:ind w:left="0" w:firstLine="0"/>
        <w:jc w:val="both"/>
        <w:rPr>
          <w:color w:val="000000"/>
          <w:sz w:val="24"/>
          <w:szCs w:val="24"/>
        </w:rPr>
      </w:pPr>
      <w:r>
        <w:rPr>
          <w:color w:val="000000"/>
          <w:sz w:val="24"/>
          <w:szCs w:val="24"/>
        </w:rPr>
        <w:t>Общие требования к закупаемым товарам для аналитической лабораторно-диагностической системы:</w:t>
      </w:r>
    </w:p>
    <w:p w14:paraId="774E568F" w14:textId="77777777" w:rsidR="003F413B" w:rsidRDefault="003F413B" w:rsidP="003F413B">
      <w:pPr>
        <w:pStyle w:val="a7"/>
        <w:numPr>
          <w:ilvl w:val="1"/>
          <w:numId w:val="5"/>
        </w:numPr>
        <w:tabs>
          <w:tab w:val="left" w:pos="0"/>
        </w:tabs>
        <w:ind w:left="0" w:firstLine="0"/>
        <w:jc w:val="both"/>
        <w:rPr>
          <w:color w:val="000000"/>
          <w:sz w:val="24"/>
          <w:szCs w:val="24"/>
        </w:rPr>
      </w:pPr>
      <w:r>
        <w:rPr>
          <w:color w:val="000000"/>
          <w:sz w:val="24"/>
          <w:szCs w:val="24"/>
        </w:rPr>
        <w:t>*Поскольку закупаемые реагенты и расходные материалы являются компонентом аналитической лабораторно-диагностической системы, претендент должен гарантировать качество и совместимость предлагаемых товаров между собой и с анализатором AU480 (BeckmanCoulter). В целях подтверждения возможности обеспечения данных гарантий претендент должен:</w:t>
      </w:r>
    </w:p>
    <w:p w14:paraId="135B9DB2" w14:textId="77777777" w:rsidR="003F413B" w:rsidRDefault="003F413B" w:rsidP="003F413B">
      <w:pPr>
        <w:pStyle w:val="a7"/>
        <w:numPr>
          <w:ilvl w:val="2"/>
          <w:numId w:val="5"/>
        </w:numPr>
        <w:tabs>
          <w:tab w:val="left" w:pos="0"/>
          <w:tab w:val="left" w:pos="426"/>
        </w:tabs>
        <w:ind w:left="0" w:firstLine="0"/>
        <w:jc w:val="both"/>
        <w:rPr>
          <w:color w:val="000000"/>
          <w:sz w:val="24"/>
          <w:szCs w:val="24"/>
        </w:rPr>
      </w:pPr>
      <w:r>
        <w:rPr>
          <w:color w:val="000000"/>
          <w:sz w:val="24"/>
          <w:szCs w:val="24"/>
        </w:rPr>
        <w:t xml:space="preserve">Взять на себя обязательства по: наладке товаров; обучению лиц, осуществляющих эксплуатацию товаров; обеспечению проверки работоспособности аналитической лабораторно-диагностической системы заказчика на предмет получения корректных </w:t>
      </w:r>
      <w:r>
        <w:rPr>
          <w:color w:val="000000"/>
          <w:sz w:val="24"/>
          <w:szCs w:val="24"/>
        </w:rPr>
        <w:lastRenderedPageBreak/>
        <w:t>результатов лабораторных исследований проб биологического материала человека (в случае возникновения претензий по качеству и совместимости товаров); возмещению расходов на восстановление инструментального компонента в аналитической лабораторно-диагностической системе, в случае выхода его из строя по причине функциональной или технологической несовместимости предложенных товаров с анализатором (заключение о причине выхода из строя дает официальная сервисная служба, сертифицированная производителем анализатора).</w:t>
      </w:r>
    </w:p>
    <w:p w14:paraId="3CBD5EF3" w14:textId="77777777" w:rsidR="003F413B" w:rsidRDefault="003F413B" w:rsidP="003F413B">
      <w:pPr>
        <w:pStyle w:val="a7"/>
        <w:numPr>
          <w:ilvl w:val="2"/>
          <w:numId w:val="5"/>
        </w:numPr>
        <w:tabs>
          <w:tab w:val="left" w:pos="0"/>
          <w:tab w:val="left" w:pos="426"/>
        </w:tabs>
        <w:ind w:left="0" w:firstLine="0"/>
        <w:jc w:val="both"/>
        <w:rPr>
          <w:color w:val="000000"/>
          <w:sz w:val="24"/>
          <w:szCs w:val="24"/>
        </w:rPr>
      </w:pPr>
      <w:r>
        <w:rPr>
          <w:color w:val="000000"/>
          <w:sz w:val="24"/>
          <w:szCs w:val="24"/>
        </w:rPr>
        <w:t>Представить документ (сертификат) от производителя оборудования, подтверждающий прохождение обучения специалистами претендента на право вмешательства в работу инструментальной части анализаторов AU480 в целях наладки товаров, обучения лиц эксплуатации товаров на анализаторе, обеспечения проверки работоспособности аналитической лабораторно-диагностической системы.</w:t>
      </w:r>
    </w:p>
    <w:p w14:paraId="47F06D57" w14:textId="77777777" w:rsidR="003F413B" w:rsidRDefault="003F413B" w:rsidP="003F413B">
      <w:pPr>
        <w:pStyle w:val="a7"/>
        <w:numPr>
          <w:ilvl w:val="1"/>
          <w:numId w:val="5"/>
        </w:numPr>
        <w:tabs>
          <w:tab w:val="left" w:pos="0"/>
          <w:tab w:val="left" w:pos="567"/>
        </w:tabs>
        <w:ind w:left="0" w:firstLine="0"/>
        <w:jc w:val="both"/>
        <w:rPr>
          <w:color w:val="000000"/>
          <w:sz w:val="24"/>
          <w:szCs w:val="24"/>
        </w:rPr>
      </w:pPr>
      <w:r>
        <w:rPr>
          <w:color w:val="000000"/>
          <w:sz w:val="24"/>
          <w:szCs w:val="24"/>
        </w:rPr>
        <w:t>При предоставлении участником продукции, имеющей зарегистрированный товарный знак на территории Республики Беларусь, участник должен подтвердить документально обладание правомочиями на реализацию товаров (выполнение работ, оказание услуг), промаркированных данным товарным знаком (согласно ст.16 п.2 абзац 12Закона РБ О государственных закупках товаров (работ, услуг) от 13 июля 2012 г. № 419-З с изменениями и доп</w:t>
      </w:r>
    </w:p>
    <w:p w14:paraId="4CF9F2FF" w14:textId="2BEBED71" w:rsidR="003F413B" w:rsidRDefault="003F413B" w:rsidP="00564574">
      <w:pPr>
        <w:tabs>
          <w:tab w:val="left" w:pos="6804"/>
        </w:tabs>
        <w:mirrorIndents/>
        <w:rPr>
          <w:rFonts w:ascii="Times New Roman" w:hAnsi="Times New Roman" w:cs="Times New Roman"/>
          <w:bCs/>
          <w:sz w:val="24"/>
          <w:szCs w:val="24"/>
        </w:rPr>
      </w:pPr>
    </w:p>
    <w:sectPr w:rsidR="003F41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CC"/>
    <w:family w:val="swiss"/>
    <w:pitch w:val="variable"/>
    <w:sig w:usb0="E0002EFF" w:usb1="C000785B" w:usb2="00000009" w:usb3="00000000" w:csb0="000001FF" w:csb1="00000000"/>
  </w:font>
  <w:font w:name="SiemensSansGlobal-Regular">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92699"/>
    <w:multiLevelType w:val="multilevel"/>
    <w:tmpl w:val="607A7B56"/>
    <w:lvl w:ilvl="0">
      <w:start w:val="1"/>
      <w:numFmt w:val="decimal"/>
      <w:lvlText w:val="%1."/>
      <w:lvlJc w:val="left"/>
      <w:pPr>
        <w:ind w:left="46" w:hanging="360"/>
      </w:pPr>
      <w:rPr>
        <w:rFonts w:hint="default"/>
        <w:color w:val="auto"/>
      </w:rPr>
    </w:lvl>
    <w:lvl w:ilvl="1">
      <w:start w:val="3"/>
      <w:numFmt w:val="decimal"/>
      <w:isLgl/>
      <w:lvlText w:val="%1.%2"/>
      <w:lvlJc w:val="left"/>
      <w:pPr>
        <w:ind w:left="-323" w:hanging="375"/>
      </w:pPr>
      <w:rPr>
        <w:rFonts w:hint="default"/>
      </w:rPr>
    </w:lvl>
    <w:lvl w:ilvl="2">
      <w:start w:val="1"/>
      <w:numFmt w:val="decimal"/>
      <w:isLgl/>
      <w:lvlText w:val="%1.%2.%3"/>
      <w:lvlJc w:val="left"/>
      <w:pPr>
        <w:ind w:left="22" w:hanging="720"/>
      </w:pPr>
      <w:rPr>
        <w:rFonts w:hint="default"/>
      </w:rPr>
    </w:lvl>
    <w:lvl w:ilvl="3">
      <w:start w:val="1"/>
      <w:numFmt w:val="decimal"/>
      <w:isLgl/>
      <w:lvlText w:val="%1.%2.%3.%4"/>
      <w:lvlJc w:val="left"/>
      <w:pPr>
        <w:ind w:left="382" w:hanging="1080"/>
      </w:pPr>
      <w:rPr>
        <w:rFonts w:hint="default"/>
      </w:rPr>
    </w:lvl>
    <w:lvl w:ilvl="4">
      <w:start w:val="1"/>
      <w:numFmt w:val="decimal"/>
      <w:isLgl/>
      <w:lvlText w:val="%1.%2.%3.%4.%5"/>
      <w:lvlJc w:val="left"/>
      <w:pPr>
        <w:ind w:left="382" w:hanging="1080"/>
      </w:pPr>
      <w:rPr>
        <w:rFonts w:hint="default"/>
      </w:rPr>
    </w:lvl>
    <w:lvl w:ilvl="5">
      <w:start w:val="1"/>
      <w:numFmt w:val="decimal"/>
      <w:isLgl/>
      <w:lvlText w:val="%1.%2.%3.%4.%5.%6"/>
      <w:lvlJc w:val="left"/>
      <w:pPr>
        <w:ind w:left="742" w:hanging="1440"/>
      </w:pPr>
      <w:rPr>
        <w:rFonts w:hint="default"/>
      </w:rPr>
    </w:lvl>
    <w:lvl w:ilvl="6">
      <w:start w:val="1"/>
      <w:numFmt w:val="decimal"/>
      <w:isLgl/>
      <w:lvlText w:val="%1.%2.%3.%4.%5.%6.%7"/>
      <w:lvlJc w:val="left"/>
      <w:pPr>
        <w:ind w:left="742" w:hanging="1440"/>
      </w:pPr>
      <w:rPr>
        <w:rFonts w:hint="default"/>
      </w:rPr>
    </w:lvl>
    <w:lvl w:ilvl="7">
      <w:start w:val="1"/>
      <w:numFmt w:val="decimal"/>
      <w:isLgl/>
      <w:lvlText w:val="%1.%2.%3.%4.%5.%6.%7.%8"/>
      <w:lvlJc w:val="left"/>
      <w:pPr>
        <w:ind w:left="1102" w:hanging="1800"/>
      </w:pPr>
      <w:rPr>
        <w:rFonts w:hint="default"/>
      </w:rPr>
    </w:lvl>
    <w:lvl w:ilvl="8">
      <w:start w:val="1"/>
      <w:numFmt w:val="decimal"/>
      <w:isLgl/>
      <w:lvlText w:val="%1.%2.%3.%4.%5.%6.%7.%8.%9"/>
      <w:lvlJc w:val="left"/>
      <w:pPr>
        <w:ind w:left="1462" w:hanging="2160"/>
      </w:pPr>
      <w:rPr>
        <w:rFonts w:hint="default"/>
      </w:rPr>
    </w:lvl>
  </w:abstractNum>
  <w:abstractNum w:abstractNumId="1" w15:restartNumberingAfterBreak="0">
    <w:nsid w:val="4D881B79"/>
    <w:multiLevelType w:val="multilevel"/>
    <w:tmpl w:val="7BD04980"/>
    <w:lvl w:ilvl="0">
      <w:start w:val="1"/>
      <w:numFmt w:val="decimal"/>
      <w:lvlText w:val="%1."/>
      <w:lvlJc w:val="left"/>
      <w:pPr>
        <w:ind w:left="373" w:hanging="360"/>
      </w:pPr>
      <w:rPr>
        <w:rFonts w:hint="default"/>
      </w:rPr>
    </w:lvl>
    <w:lvl w:ilvl="1">
      <w:start w:val="1"/>
      <w:numFmt w:val="decimal"/>
      <w:isLgl/>
      <w:lvlText w:val="%1.%2"/>
      <w:lvlJc w:val="left"/>
      <w:pPr>
        <w:ind w:left="388" w:hanging="375"/>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093" w:hanging="1080"/>
      </w:pPr>
      <w:rPr>
        <w:rFonts w:hint="default"/>
      </w:rPr>
    </w:lvl>
    <w:lvl w:ilvl="4">
      <w:start w:val="1"/>
      <w:numFmt w:val="decimal"/>
      <w:isLgl/>
      <w:lvlText w:val="%1.%2.%3.%4.%5"/>
      <w:lvlJc w:val="left"/>
      <w:pPr>
        <w:ind w:left="1093" w:hanging="1080"/>
      </w:pPr>
      <w:rPr>
        <w:rFonts w:hint="default"/>
      </w:rPr>
    </w:lvl>
    <w:lvl w:ilvl="5">
      <w:start w:val="1"/>
      <w:numFmt w:val="decimal"/>
      <w:isLgl/>
      <w:lvlText w:val="%1.%2.%3.%4.%5.%6"/>
      <w:lvlJc w:val="left"/>
      <w:pPr>
        <w:ind w:left="1453" w:hanging="1440"/>
      </w:pPr>
      <w:rPr>
        <w:rFonts w:hint="default"/>
      </w:rPr>
    </w:lvl>
    <w:lvl w:ilvl="6">
      <w:start w:val="1"/>
      <w:numFmt w:val="decimal"/>
      <w:isLgl/>
      <w:lvlText w:val="%1.%2.%3.%4.%5.%6.%7"/>
      <w:lvlJc w:val="left"/>
      <w:pPr>
        <w:ind w:left="1453" w:hanging="1440"/>
      </w:pPr>
      <w:rPr>
        <w:rFonts w:hint="default"/>
      </w:rPr>
    </w:lvl>
    <w:lvl w:ilvl="7">
      <w:start w:val="1"/>
      <w:numFmt w:val="decimal"/>
      <w:isLgl/>
      <w:lvlText w:val="%1.%2.%3.%4.%5.%6.%7.%8"/>
      <w:lvlJc w:val="left"/>
      <w:pPr>
        <w:ind w:left="1813" w:hanging="1800"/>
      </w:pPr>
      <w:rPr>
        <w:rFonts w:hint="default"/>
      </w:rPr>
    </w:lvl>
    <w:lvl w:ilvl="8">
      <w:start w:val="1"/>
      <w:numFmt w:val="decimal"/>
      <w:isLgl/>
      <w:lvlText w:val="%1.%2.%3.%4.%5.%6.%7.%8.%9"/>
      <w:lvlJc w:val="left"/>
      <w:pPr>
        <w:ind w:left="2173" w:hanging="2160"/>
      </w:pPr>
      <w:rPr>
        <w:rFonts w:hint="default"/>
      </w:rPr>
    </w:lvl>
  </w:abstractNum>
  <w:abstractNum w:abstractNumId="2" w15:restartNumberingAfterBreak="0">
    <w:nsid w:val="7DF60AF7"/>
    <w:multiLevelType w:val="multilevel"/>
    <w:tmpl w:val="4094F68A"/>
    <w:lvl w:ilvl="0">
      <w:start w:val="1"/>
      <w:numFmt w:val="decimal"/>
      <w:lvlText w:val="%1."/>
      <w:lvlJc w:val="left"/>
      <w:pPr>
        <w:ind w:left="1070" w:hanging="360"/>
      </w:pPr>
      <w:rPr>
        <w:rFonts w:hint="default"/>
        <w:color w:val="auto"/>
      </w:rPr>
    </w:lvl>
    <w:lvl w:ilvl="1">
      <w:start w:val="3"/>
      <w:numFmt w:val="decimal"/>
      <w:isLgl/>
      <w:lvlText w:val="%1.%2"/>
      <w:lvlJc w:val="left"/>
      <w:pPr>
        <w:ind w:left="388" w:hanging="375"/>
      </w:pPr>
      <w:rPr>
        <w:rFonts w:hint="default"/>
      </w:rPr>
    </w:lvl>
    <w:lvl w:ilvl="2">
      <w:start w:val="1"/>
      <w:numFmt w:val="decimal"/>
      <w:isLgl/>
      <w:lvlText w:val="%1.%2.%3"/>
      <w:lvlJc w:val="left"/>
      <w:pPr>
        <w:ind w:left="733" w:hanging="720"/>
      </w:pPr>
      <w:rPr>
        <w:rFonts w:hint="default"/>
      </w:rPr>
    </w:lvl>
    <w:lvl w:ilvl="3">
      <w:start w:val="1"/>
      <w:numFmt w:val="decimal"/>
      <w:isLgl/>
      <w:lvlText w:val="%1.%2.%3.%4"/>
      <w:lvlJc w:val="left"/>
      <w:pPr>
        <w:ind w:left="1093" w:hanging="1080"/>
      </w:pPr>
      <w:rPr>
        <w:rFonts w:hint="default"/>
      </w:rPr>
    </w:lvl>
    <w:lvl w:ilvl="4">
      <w:start w:val="1"/>
      <w:numFmt w:val="decimal"/>
      <w:isLgl/>
      <w:lvlText w:val="%1.%2.%3.%4.%5"/>
      <w:lvlJc w:val="left"/>
      <w:pPr>
        <w:ind w:left="1093" w:hanging="1080"/>
      </w:pPr>
      <w:rPr>
        <w:rFonts w:hint="default"/>
      </w:rPr>
    </w:lvl>
    <w:lvl w:ilvl="5">
      <w:start w:val="1"/>
      <w:numFmt w:val="decimal"/>
      <w:isLgl/>
      <w:lvlText w:val="%1.%2.%3.%4.%5.%6"/>
      <w:lvlJc w:val="left"/>
      <w:pPr>
        <w:ind w:left="1453" w:hanging="1440"/>
      </w:pPr>
      <w:rPr>
        <w:rFonts w:hint="default"/>
      </w:rPr>
    </w:lvl>
    <w:lvl w:ilvl="6">
      <w:start w:val="1"/>
      <w:numFmt w:val="decimal"/>
      <w:isLgl/>
      <w:lvlText w:val="%1.%2.%3.%4.%5.%6.%7"/>
      <w:lvlJc w:val="left"/>
      <w:pPr>
        <w:ind w:left="1453" w:hanging="1440"/>
      </w:pPr>
      <w:rPr>
        <w:rFonts w:hint="default"/>
      </w:rPr>
    </w:lvl>
    <w:lvl w:ilvl="7">
      <w:start w:val="1"/>
      <w:numFmt w:val="decimal"/>
      <w:isLgl/>
      <w:lvlText w:val="%1.%2.%3.%4.%5.%6.%7.%8"/>
      <w:lvlJc w:val="left"/>
      <w:pPr>
        <w:ind w:left="1813" w:hanging="1800"/>
      </w:pPr>
      <w:rPr>
        <w:rFonts w:hint="default"/>
      </w:rPr>
    </w:lvl>
    <w:lvl w:ilvl="8">
      <w:start w:val="1"/>
      <w:numFmt w:val="decimal"/>
      <w:isLgl/>
      <w:lvlText w:val="%1.%2.%3.%4.%5.%6.%7.%8.%9"/>
      <w:lvlJc w:val="left"/>
      <w:pPr>
        <w:ind w:left="2173" w:hanging="2160"/>
      </w:pPr>
      <w:rPr>
        <w:rFonts w:hint="default"/>
      </w:rPr>
    </w:lvl>
  </w:abstractNum>
  <w:num w:numId="1" w16cid:durableId="1970162509">
    <w:abstractNumId w:val="1"/>
  </w:num>
  <w:num w:numId="2" w16cid:durableId="1061101393">
    <w:abstractNumId w:val="2"/>
  </w:num>
  <w:num w:numId="3" w16cid:durableId="568735502">
    <w:abstractNumId w:val="0"/>
  </w:num>
  <w:num w:numId="4" w16cid:durableId="811291940">
    <w:abstractNumId w:val="2"/>
  </w:num>
  <w:num w:numId="5" w16cid:durableId="9862055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mailMerge>
    <w:mainDocumentType w:val="email"/>
    <w:dataType w:val="textFile"/>
    <w:activeRecord w:val="-1"/>
  </w:mailMerge>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C2A"/>
    <w:rsid w:val="0000205A"/>
    <w:rsid w:val="00005459"/>
    <w:rsid w:val="00011FBF"/>
    <w:rsid w:val="00025255"/>
    <w:rsid w:val="00033B0B"/>
    <w:rsid w:val="0003686B"/>
    <w:rsid w:val="000373B1"/>
    <w:rsid w:val="00043F3E"/>
    <w:rsid w:val="00045303"/>
    <w:rsid w:val="000566FA"/>
    <w:rsid w:val="00064C9F"/>
    <w:rsid w:val="00064CA2"/>
    <w:rsid w:val="00065B2C"/>
    <w:rsid w:val="00065DD6"/>
    <w:rsid w:val="00075FE1"/>
    <w:rsid w:val="00097E8E"/>
    <w:rsid w:val="000B4898"/>
    <w:rsid w:val="000D66D7"/>
    <w:rsid w:val="000F2519"/>
    <w:rsid w:val="000F5CE9"/>
    <w:rsid w:val="0010611F"/>
    <w:rsid w:val="00131386"/>
    <w:rsid w:val="001464F2"/>
    <w:rsid w:val="0014711E"/>
    <w:rsid w:val="00151E91"/>
    <w:rsid w:val="00154923"/>
    <w:rsid w:val="00161561"/>
    <w:rsid w:val="0016285C"/>
    <w:rsid w:val="00166C56"/>
    <w:rsid w:val="00176D76"/>
    <w:rsid w:val="00183291"/>
    <w:rsid w:val="00191F46"/>
    <w:rsid w:val="00196ADF"/>
    <w:rsid w:val="001A1506"/>
    <w:rsid w:val="001B6E8C"/>
    <w:rsid w:val="001B780F"/>
    <w:rsid w:val="001C02F3"/>
    <w:rsid w:val="001C16F3"/>
    <w:rsid w:val="001C71EF"/>
    <w:rsid w:val="001F64FB"/>
    <w:rsid w:val="00200069"/>
    <w:rsid w:val="00200E05"/>
    <w:rsid w:val="00202493"/>
    <w:rsid w:val="0020353B"/>
    <w:rsid w:val="00220CD7"/>
    <w:rsid w:val="002212EF"/>
    <w:rsid w:val="00222B7C"/>
    <w:rsid w:val="002273C0"/>
    <w:rsid w:val="002324C7"/>
    <w:rsid w:val="00244C7A"/>
    <w:rsid w:val="002568BA"/>
    <w:rsid w:val="00257121"/>
    <w:rsid w:val="00261B2B"/>
    <w:rsid w:val="002643ED"/>
    <w:rsid w:val="002647DB"/>
    <w:rsid w:val="00266F65"/>
    <w:rsid w:val="0028044E"/>
    <w:rsid w:val="00282F6F"/>
    <w:rsid w:val="00283B3B"/>
    <w:rsid w:val="00286630"/>
    <w:rsid w:val="00290A62"/>
    <w:rsid w:val="00290F01"/>
    <w:rsid w:val="002931A9"/>
    <w:rsid w:val="002A48E1"/>
    <w:rsid w:val="002B0585"/>
    <w:rsid w:val="002B28FE"/>
    <w:rsid w:val="002B3003"/>
    <w:rsid w:val="002B31C2"/>
    <w:rsid w:val="002B6276"/>
    <w:rsid w:val="002B69A2"/>
    <w:rsid w:val="002D1E8F"/>
    <w:rsid w:val="002D6C21"/>
    <w:rsid w:val="002E03A1"/>
    <w:rsid w:val="002E7EE5"/>
    <w:rsid w:val="00305EEF"/>
    <w:rsid w:val="00310249"/>
    <w:rsid w:val="00320B20"/>
    <w:rsid w:val="00326C2A"/>
    <w:rsid w:val="00336213"/>
    <w:rsid w:val="0033760C"/>
    <w:rsid w:val="00354E82"/>
    <w:rsid w:val="0036359D"/>
    <w:rsid w:val="00364D6B"/>
    <w:rsid w:val="003655D3"/>
    <w:rsid w:val="00367534"/>
    <w:rsid w:val="00382CFB"/>
    <w:rsid w:val="003862CD"/>
    <w:rsid w:val="003878CF"/>
    <w:rsid w:val="003923E1"/>
    <w:rsid w:val="00396F2E"/>
    <w:rsid w:val="003C38BB"/>
    <w:rsid w:val="003C7F62"/>
    <w:rsid w:val="003D0922"/>
    <w:rsid w:val="003D4202"/>
    <w:rsid w:val="003E1150"/>
    <w:rsid w:val="003F0853"/>
    <w:rsid w:val="003F1C3F"/>
    <w:rsid w:val="003F413B"/>
    <w:rsid w:val="003F5748"/>
    <w:rsid w:val="00406BBF"/>
    <w:rsid w:val="00406C3C"/>
    <w:rsid w:val="00412B55"/>
    <w:rsid w:val="00450E84"/>
    <w:rsid w:val="00452687"/>
    <w:rsid w:val="00454A3D"/>
    <w:rsid w:val="0046703F"/>
    <w:rsid w:val="00475DCB"/>
    <w:rsid w:val="00476119"/>
    <w:rsid w:val="0048061E"/>
    <w:rsid w:val="00486435"/>
    <w:rsid w:val="00492A1E"/>
    <w:rsid w:val="004A0861"/>
    <w:rsid w:val="004A3A52"/>
    <w:rsid w:val="004A4497"/>
    <w:rsid w:val="004A44D2"/>
    <w:rsid w:val="004B34C8"/>
    <w:rsid w:val="004D709B"/>
    <w:rsid w:val="004E3803"/>
    <w:rsid w:val="004E6DDA"/>
    <w:rsid w:val="004F3843"/>
    <w:rsid w:val="004F52F5"/>
    <w:rsid w:val="004F68EF"/>
    <w:rsid w:val="00506187"/>
    <w:rsid w:val="00507DAF"/>
    <w:rsid w:val="0051379C"/>
    <w:rsid w:val="00514079"/>
    <w:rsid w:val="00516401"/>
    <w:rsid w:val="00517253"/>
    <w:rsid w:val="0054018C"/>
    <w:rsid w:val="00550614"/>
    <w:rsid w:val="005550D0"/>
    <w:rsid w:val="00555D32"/>
    <w:rsid w:val="00564574"/>
    <w:rsid w:val="00575D92"/>
    <w:rsid w:val="00581DBC"/>
    <w:rsid w:val="00594610"/>
    <w:rsid w:val="005B79C4"/>
    <w:rsid w:val="005C4D16"/>
    <w:rsid w:val="005D4CD1"/>
    <w:rsid w:val="005D52EC"/>
    <w:rsid w:val="005E0BF4"/>
    <w:rsid w:val="005E2787"/>
    <w:rsid w:val="005E40A0"/>
    <w:rsid w:val="005E4AA9"/>
    <w:rsid w:val="005F59AF"/>
    <w:rsid w:val="005F5DBC"/>
    <w:rsid w:val="00601ABD"/>
    <w:rsid w:val="00616E1A"/>
    <w:rsid w:val="00624030"/>
    <w:rsid w:val="00630B9E"/>
    <w:rsid w:val="00634491"/>
    <w:rsid w:val="00636129"/>
    <w:rsid w:val="00636D2F"/>
    <w:rsid w:val="00646F6D"/>
    <w:rsid w:val="00651572"/>
    <w:rsid w:val="006520B4"/>
    <w:rsid w:val="0065215C"/>
    <w:rsid w:val="00653A8A"/>
    <w:rsid w:val="006549D6"/>
    <w:rsid w:val="00662416"/>
    <w:rsid w:val="006663A4"/>
    <w:rsid w:val="006A16A0"/>
    <w:rsid w:val="006B09F4"/>
    <w:rsid w:val="006D2799"/>
    <w:rsid w:val="006D4D52"/>
    <w:rsid w:val="006D590F"/>
    <w:rsid w:val="006E0FE5"/>
    <w:rsid w:val="006E1857"/>
    <w:rsid w:val="006E1AAD"/>
    <w:rsid w:val="006E44F6"/>
    <w:rsid w:val="006F253C"/>
    <w:rsid w:val="006F4C65"/>
    <w:rsid w:val="0070703C"/>
    <w:rsid w:val="007175B3"/>
    <w:rsid w:val="007231EE"/>
    <w:rsid w:val="007257F9"/>
    <w:rsid w:val="007266D6"/>
    <w:rsid w:val="007354E0"/>
    <w:rsid w:val="0074130F"/>
    <w:rsid w:val="0074248F"/>
    <w:rsid w:val="00746316"/>
    <w:rsid w:val="00755495"/>
    <w:rsid w:val="007643ED"/>
    <w:rsid w:val="00785C10"/>
    <w:rsid w:val="0079169A"/>
    <w:rsid w:val="00792F88"/>
    <w:rsid w:val="00794E5D"/>
    <w:rsid w:val="007A0DB9"/>
    <w:rsid w:val="007B0063"/>
    <w:rsid w:val="007B065D"/>
    <w:rsid w:val="007B08CB"/>
    <w:rsid w:val="007B3D84"/>
    <w:rsid w:val="007B70C4"/>
    <w:rsid w:val="007D48E2"/>
    <w:rsid w:val="007D702C"/>
    <w:rsid w:val="007D763F"/>
    <w:rsid w:val="00805084"/>
    <w:rsid w:val="00814DA2"/>
    <w:rsid w:val="00821324"/>
    <w:rsid w:val="00833596"/>
    <w:rsid w:val="008417C9"/>
    <w:rsid w:val="00843B7E"/>
    <w:rsid w:val="00846274"/>
    <w:rsid w:val="00854BA3"/>
    <w:rsid w:val="008565CB"/>
    <w:rsid w:val="008573DE"/>
    <w:rsid w:val="00860F57"/>
    <w:rsid w:val="00874025"/>
    <w:rsid w:val="00874AFC"/>
    <w:rsid w:val="008762D9"/>
    <w:rsid w:val="00884740"/>
    <w:rsid w:val="00890087"/>
    <w:rsid w:val="008A1F5E"/>
    <w:rsid w:val="008B21F0"/>
    <w:rsid w:val="008B54C4"/>
    <w:rsid w:val="008B5BCC"/>
    <w:rsid w:val="008B6DBB"/>
    <w:rsid w:val="008C1BC1"/>
    <w:rsid w:val="008C434B"/>
    <w:rsid w:val="008D0405"/>
    <w:rsid w:val="008D2D15"/>
    <w:rsid w:val="008D5E0B"/>
    <w:rsid w:val="008E3B06"/>
    <w:rsid w:val="008E6182"/>
    <w:rsid w:val="008F2AC4"/>
    <w:rsid w:val="008F3BCE"/>
    <w:rsid w:val="00903DAD"/>
    <w:rsid w:val="00911F51"/>
    <w:rsid w:val="00915968"/>
    <w:rsid w:val="009209B6"/>
    <w:rsid w:val="00923D60"/>
    <w:rsid w:val="00925D05"/>
    <w:rsid w:val="00933E64"/>
    <w:rsid w:val="00941C4E"/>
    <w:rsid w:val="0096141A"/>
    <w:rsid w:val="00966CDA"/>
    <w:rsid w:val="00970E32"/>
    <w:rsid w:val="00974DF6"/>
    <w:rsid w:val="00976098"/>
    <w:rsid w:val="00980D30"/>
    <w:rsid w:val="009840FF"/>
    <w:rsid w:val="00985D72"/>
    <w:rsid w:val="00987653"/>
    <w:rsid w:val="009879FA"/>
    <w:rsid w:val="00990D37"/>
    <w:rsid w:val="00991123"/>
    <w:rsid w:val="009A7F8E"/>
    <w:rsid w:val="009C1958"/>
    <w:rsid w:val="009C3AE0"/>
    <w:rsid w:val="009C580A"/>
    <w:rsid w:val="009D0560"/>
    <w:rsid w:val="009D1F3B"/>
    <w:rsid w:val="00A00131"/>
    <w:rsid w:val="00A3622F"/>
    <w:rsid w:val="00A40C93"/>
    <w:rsid w:val="00A43536"/>
    <w:rsid w:val="00A5007E"/>
    <w:rsid w:val="00A57134"/>
    <w:rsid w:val="00A61FA6"/>
    <w:rsid w:val="00A7256E"/>
    <w:rsid w:val="00A74171"/>
    <w:rsid w:val="00A803E9"/>
    <w:rsid w:val="00A9248B"/>
    <w:rsid w:val="00AB47BE"/>
    <w:rsid w:val="00AE2DD9"/>
    <w:rsid w:val="00AE6338"/>
    <w:rsid w:val="00AE6388"/>
    <w:rsid w:val="00AF28A6"/>
    <w:rsid w:val="00AF3CAF"/>
    <w:rsid w:val="00AF4A45"/>
    <w:rsid w:val="00AF6CB3"/>
    <w:rsid w:val="00AF7885"/>
    <w:rsid w:val="00B059E7"/>
    <w:rsid w:val="00B106C6"/>
    <w:rsid w:val="00B141CB"/>
    <w:rsid w:val="00B346AD"/>
    <w:rsid w:val="00B43050"/>
    <w:rsid w:val="00B45DDD"/>
    <w:rsid w:val="00B46064"/>
    <w:rsid w:val="00B470BD"/>
    <w:rsid w:val="00B47C0D"/>
    <w:rsid w:val="00B53E17"/>
    <w:rsid w:val="00B62865"/>
    <w:rsid w:val="00B64181"/>
    <w:rsid w:val="00B706DD"/>
    <w:rsid w:val="00B72710"/>
    <w:rsid w:val="00B744B3"/>
    <w:rsid w:val="00B842C3"/>
    <w:rsid w:val="00B942C7"/>
    <w:rsid w:val="00BA3D43"/>
    <w:rsid w:val="00BB1FF6"/>
    <w:rsid w:val="00BB2757"/>
    <w:rsid w:val="00BB346A"/>
    <w:rsid w:val="00BB36FD"/>
    <w:rsid w:val="00BC0A67"/>
    <w:rsid w:val="00BC2638"/>
    <w:rsid w:val="00BC3DC4"/>
    <w:rsid w:val="00BC4D31"/>
    <w:rsid w:val="00BD2905"/>
    <w:rsid w:val="00BD43B4"/>
    <w:rsid w:val="00BD5AED"/>
    <w:rsid w:val="00BE0276"/>
    <w:rsid w:val="00BE0979"/>
    <w:rsid w:val="00C06974"/>
    <w:rsid w:val="00C139CC"/>
    <w:rsid w:val="00C32952"/>
    <w:rsid w:val="00C35067"/>
    <w:rsid w:val="00C471BB"/>
    <w:rsid w:val="00C5171F"/>
    <w:rsid w:val="00C533E8"/>
    <w:rsid w:val="00C60AE2"/>
    <w:rsid w:val="00C65C5F"/>
    <w:rsid w:val="00C76747"/>
    <w:rsid w:val="00C772C7"/>
    <w:rsid w:val="00C8008A"/>
    <w:rsid w:val="00C975CE"/>
    <w:rsid w:val="00CA659C"/>
    <w:rsid w:val="00CA6879"/>
    <w:rsid w:val="00CD3174"/>
    <w:rsid w:val="00CD3742"/>
    <w:rsid w:val="00CD4DF2"/>
    <w:rsid w:val="00CD6190"/>
    <w:rsid w:val="00CE0D89"/>
    <w:rsid w:val="00CE25BA"/>
    <w:rsid w:val="00CE2B73"/>
    <w:rsid w:val="00CF378A"/>
    <w:rsid w:val="00D00E38"/>
    <w:rsid w:val="00D01DC9"/>
    <w:rsid w:val="00D03CF5"/>
    <w:rsid w:val="00D16A1F"/>
    <w:rsid w:val="00D25892"/>
    <w:rsid w:val="00D32FD1"/>
    <w:rsid w:val="00D33FC2"/>
    <w:rsid w:val="00D35C4A"/>
    <w:rsid w:val="00D36E4E"/>
    <w:rsid w:val="00D46BB5"/>
    <w:rsid w:val="00D4715A"/>
    <w:rsid w:val="00D5359E"/>
    <w:rsid w:val="00D857D9"/>
    <w:rsid w:val="00D864CD"/>
    <w:rsid w:val="00D964AA"/>
    <w:rsid w:val="00D9793F"/>
    <w:rsid w:val="00DB1283"/>
    <w:rsid w:val="00DD59A0"/>
    <w:rsid w:val="00DD6572"/>
    <w:rsid w:val="00DE08A6"/>
    <w:rsid w:val="00DE4328"/>
    <w:rsid w:val="00E06F54"/>
    <w:rsid w:val="00E17591"/>
    <w:rsid w:val="00E31946"/>
    <w:rsid w:val="00E37586"/>
    <w:rsid w:val="00E41009"/>
    <w:rsid w:val="00E421F6"/>
    <w:rsid w:val="00E56CBC"/>
    <w:rsid w:val="00E600B9"/>
    <w:rsid w:val="00E71CA9"/>
    <w:rsid w:val="00E81CF3"/>
    <w:rsid w:val="00E9744B"/>
    <w:rsid w:val="00E979B5"/>
    <w:rsid w:val="00EA23A7"/>
    <w:rsid w:val="00EA3364"/>
    <w:rsid w:val="00EA7E3A"/>
    <w:rsid w:val="00EB1E69"/>
    <w:rsid w:val="00ED0E92"/>
    <w:rsid w:val="00ED26BF"/>
    <w:rsid w:val="00EE3D30"/>
    <w:rsid w:val="00EE4B5C"/>
    <w:rsid w:val="00EE79C9"/>
    <w:rsid w:val="00EF0DEA"/>
    <w:rsid w:val="00F115EA"/>
    <w:rsid w:val="00F22BA0"/>
    <w:rsid w:val="00F2733A"/>
    <w:rsid w:val="00F329EF"/>
    <w:rsid w:val="00F32CC0"/>
    <w:rsid w:val="00F70043"/>
    <w:rsid w:val="00FB1018"/>
    <w:rsid w:val="00FB3FC7"/>
    <w:rsid w:val="00FB6CC1"/>
    <w:rsid w:val="00FC00CF"/>
    <w:rsid w:val="00FC2D93"/>
    <w:rsid w:val="00FC2FA7"/>
    <w:rsid w:val="00FD72A8"/>
    <w:rsid w:val="00FE7824"/>
    <w:rsid w:val="00FF7E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F257E"/>
  <w15:docId w15:val="{8DA0AD00-4A71-451B-B380-0C879DB25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03A1"/>
  </w:style>
  <w:style w:type="paragraph" w:styleId="1">
    <w:name w:val="heading 1"/>
    <w:basedOn w:val="a"/>
    <w:next w:val="a"/>
    <w:link w:val="10"/>
    <w:uiPriority w:val="9"/>
    <w:qFormat/>
    <w:rsid w:val="003F1C3F"/>
    <w:pPr>
      <w:keepNext/>
      <w:keepLines/>
      <w:suppressAutoHyphens/>
      <w:spacing w:before="240" w:after="0" w:line="240" w:lineRule="auto"/>
      <w:outlineLvl w:val="0"/>
    </w:pPr>
    <w:rPr>
      <w:rFonts w:ascii="Cambria" w:eastAsia="Times New Roman" w:hAnsi="Cambria" w:cs="Times New Roman"/>
      <w:b/>
      <w:bCs/>
      <w:color w:val="365F91"/>
      <w:sz w:val="28"/>
      <w:szCs w:val="28"/>
      <w:lang w:eastAsia="ru-RU"/>
    </w:rPr>
  </w:style>
  <w:style w:type="paragraph" w:styleId="3">
    <w:name w:val="heading 3"/>
    <w:basedOn w:val="a"/>
    <w:next w:val="a"/>
    <w:link w:val="30"/>
    <w:qFormat/>
    <w:rsid w:val="003F1C3F"/>
    <w:pPr>
      <w:keepNext/>
      <w:spacing w:after="0" w:line="240" w:lineRule="auto"/>
      <w:jc w:val="both"/>
      <w:outlineLvl w:val="2"/>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373B1"/>
    <w:pPr>
      <w:spacing w:after="0" w:line="340" w:lineRule="exact"/>
      <w:jc w:val="center"/>
    </w:pPr>
    <w:rPr>
      <w:rFonts w:ascii="Bookman Old Style" w:eastAsia="Times New Roman" w:hAnsi="Bookman Old Style" w:cs="Times New Roman"/>
      <w:sz w:val="24"/>
      <w:szCs w:val="20"/>
      <w:lang w:eastAsia="ru-RU"/>
    </w:rPr>
  </w:style>
  <w:style w:type="character" w:customStyle="1" w:styleId="a4">
    <w:name w:val="Основной текст Знак"/>
    <w:basedOn w:val="a0"/>
    <w:link w:val="a3"/>
    <w:rsid w:val="000373B1"/>
    <w:rPr>
      <w:rFonts w:ascii="Bookman Old Style" w:eastAsia="Times New Roman" w:hAnsi="Bookman Old Style" w:cs="Times New Roman"/>
      <w:sz w:val="24"/>
      <w:szCs w:val="20"/>
      <w:lang w:eastAsia="ru-RU"/>
    </w:rPr>
  </w:style>
  <w:style w:type="paragraph" w:customStyle="1" w:styleId="table10">
    <w:name w:val="table10"/>
    <w:basedOn w:val="a"/>
    <w:rsid w:val="000373B1"/>
    <w:pPr>
      <w:spacing w:after="0" w:line="240" w:lineRule="auto"/>
    </w:pPr>
    <w:rPr>
      <w:rFonts w:ascii="Times New Roman" w:eastAsia="Times New Roman" w:hAnsi="Times New Roman" w:cs="Times New Roman"/>
      <w:sz w:val="20"/>
      <w:szCs w:val="20"/>
      <w:lang w:eastAsia="ru-RU"/>
    </w:rPr>
  </w:style>
  <w:style w:type="paragraph" w:customStyle="1" w:styleId="11">
    <w:name w:val="Абзац списка1"/>
    <w:basedOn w:val="a"/>
    <w:rsid w:val="000373B1"/>
    <w:pPr>
      <w:spacing w:after="0" w:line="240" w:lineRule="auto"/>
      <w:ind w:left="720"/>
      <w:contextualSpacing/>
    </w:pPr>
    <w:rPr>
      <w:rFonts w:ascii="Times New Roman" w:eastAsia="Times New Roman" w:hAnsi="Times New Roman" w:cs="Times New Roman"/>
      <w:sz w:val="30"/>
      <w:szCs w:val="20"/>
    </w:rPr>
  </w:style>
  <w:style w:type="character" w:customStyle="1" w:styleId="FontStyle18">
    <w:name w:val="Font Style18"/>
    <w:rsid w:val="000373B1"/>
    <w:rPr>
      <w:rFonts w:ascii="Times New Roman" w:hAnsi="Times New Roman" w:cs="Times New Roman"/>
      <w:b/>
      <w:bCs/>
      <w:sz w:val="18"/>
      <w:szCs w:val="18"/>
    </w:rPr>
  </w:style>
  <w:style w:type="paragraph" w:styleId="a5">
    <w:name w:val="No Spacing"/>
    <w:uiPriority w:val="1"/>
    <w:qFormat/>
    <w:rsid w:val="004F68EF"/>
    <w:pPr>
      <w:spacing w:after="0" w:line="240" w:lineRule="auto"/>
    </w:pPr>
    <w:rPr>
      <w:rFonts w:ascii="Calibri" w:eastAsia="Calibri" w:hAnsi="Calibri" w:cs="Times New Roman"/>
    </w:rPr>
  </w:style>
  <w:style w:type="paragraph" w:customStyle="1" w:styleId="a6">
    <w:name w:val="Стиль"/>
    <w:rsid w:val="004F68E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2">
    <w:name w:val="Body Text Indent 2"/>
    <w:basedOn w:val="a"/>
    <w:link w:val="20"/>
    <w:unhideWhenUsed/>
    <w:rsid w:val="002B31C2"/>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2B31C2"/>
    <w:rPr>
      <w:rFonts w:ascii="Times New Roman" w:eastAsia="Times New Roman" w:hAnsi="Times New Roman" w:cs="Times New Roman"/>
      <w:sz w:val="24"/>
      <w:szCs w:val="24"/>
      <w:lang w:val="x-none" w:eastAsia="x-none"/>
    </w:rPr>
  </w:style>
  <w:style w:type="paragraph" w:styleId="a7">
    <w:name w:val="List Paragraph"/>
    <w:basedOn w:val="a"/>
    <w:uiPriority w:val="34"/>
    <w:qFormat/>
    <w:rsid w:val="00A57134"/>
    <w:pPr>
      <w:spacing w:after="0" w:line="240" w:lineRule="auto"/>
      <w:ind w:left="720"/>
      <w:contextualSpacing/>
    </w:pPr>
    <w:rPr>
      <w:rFonts w:ascii="Times New Roman" w:eastAsia="Calibri" w:hAnsi="Times New Roman" w:cs="Times New Roman"/>
      <w:sz w:val="30"/>
      <w:szCs w:val="20"/>
    </w:rPr>
  </w:style>
  <w:style w:type="character" w:customStyle="1" w:styleId="apple-converted-space">
    <w:name w:val="apple-converted-space"/>
    <w:basedOn w:val="a0"/>
    <w:rsid w:val="00A57134"/>
  </w:style>
  <w:style w:type="table" w:styleId="a8">
    <w:name w:val="Table Grid"/>
    <w:basedOn w:val="a1"/>
    <w:rsid w:val="00A5713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текст_"/>
    <w:basedOn w:val="a0"/>
    <w:link w:val="12"/>
    <w:rsid w:val="000D66D7"/>
    <w:rPr>
      <w:rFonts w:ascii="Times New Roman" w:eastAsia="Times New Roman" w:hAnsi="Times New Roman" w:cs="Times New Roman"/>
      <w:b/>
      <w:bCs/>
      <w:spacing w:val="10"/>
      <w:sz w:val="23"/>
      <w:szCs w:val="23"/>
      <w:shd w:val="clear" w:color="auto" w:fill="FFFFFF"/>
    </w:rPr>
  </w:style>
  <w:style w:type="character" w:customStyle="1" w:styleId="aa">
    <w:name w:val="Подпись к таблице_"/>
    <w:basedOn w:val="a0"/>
    <w:link w:val="ab"/>
    <w:rsid w:val="000D66D7"/>
    <w:rPr>
      <w:rFonts w:ascii="Times New Roman" w:eastAsia="Times New Roman" w:hAnsi="Times New Roman" w:cs="Times New Roman"/>
      <w:shd w:val="clear" w:color="auto" w:fill="FFFFFF"/>
    </w:rPr>
  </w:style>
  <w:style w:type="character" w:customStyle="1" w:styleId="12pt0pt">
    <w:name w:val="Основной текст + 12 pt;Не полужирный;Интервал 0 pt"/>
    <w:basedOn w:val="a9"/>
    <w:rsid w:val="000D66D7"/>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0pt">
    <w:name w:val="Основной текст + Не полужирный;Интервал 0 pt"/>
    <w:basedOn w:val="a9"/>
    <w:rsid w:val="000D66D7"/>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21">
    <w:name w:val="Подпись к таблице (2)_"/>
    <w:basedOn w:val="a0"/>
    <w:link w:val="22"/>
    <w:rsid w:val="000D66D7"/>
    <w:rPr>
      <w:rFonts w:ascii="Times New Roman" w:eastAsia="Times New Roman" w:hAnsi="Times New Roman" w:cs="Times New Roman"/>
      <w:i/>
      <w:iCs/>
      <w:shd w:val="clear" w:color="auto" w:fill="FFFFFF"/>
    </w:rPr>
  </w:style>
  <w:style w:type="character" w:customStyle="1" w:styleId="23">
    <w:name w:val="Основной текст (2)_"/>
    <w:basedOn w:val="a0"/>
    <w:link w:val="24"/>
    <w:rsid w:val="000D66D7"/>
    <w:rPr>
      <w:rFonts w:ascii="Times New Roman" w:eastAsia="Times New Roman" w:hAnsi="Times New Roman" w:cs="Times New Roman"/>
      <w:sz w:val="23"/>
      <w:szCs w:val="23"/>
      <w:shd w:val="clear" w:color="auto" w:fill="FFFFFF"/>
    </w:rPr>
  </w:style>
  <w:style w:type="paragraph" w:customStyle="1" w:styleId="12">
    <w:name w:val="Основной текст1"/>
    <w:basedOn w:val="a"/>
    <w:link w:val="a9"/>
    <w:rsid w:val="000D66D7"/>
    <w:pPr>
      <w:widowControl w:val="0"/>
      <w:shd w:val="clear" w:color="auto" w:fill="FFFFFF"/>
      <w:spacing w:after="0" w:line="299" w:lineRule="exact"/>
      <w:jc w:val="right"/>
    </w:pPr>
    <w:rPr>
      <w:rFonts w:ascii="Times New Roman" w:eastAsia="Times New Roman" w:hAnsi="Times New Roman" w:cs="Times New Roman"/>
      <w:b/>
      <w:bCs/>
      <w:spacing w:val="10"/>
      <w:sz w:val="23"/>
      <w:szCs w:val="23"/>
    </w:rPr>
  </w:style>
  <w:style w:type="paragraph" w:customStyle="1" w:styleId="ab">
    <w:name w:val="Подпись к таблице"/>
    <w:basedOn w:val="a"/>
    <w:link w:val="aa"/>
    <w:rsid w:val="000D66D7"/>
    <w:pPr>
      <w:widowControl w:val="0"/>
      <w:shd w:val="clear" w:color="auto" w:fill="FFFFFF"/>
      <w:spacing w:after="0" w:line="302" w:lineRule="exact"/>
    </w:pPr>
    <w:rPr>
      <w:rFonts w:ascii="Times New Roman" w:eastAsia="Times New Roman" w:hAnsi="Times New Roman" w:cs="Times New Roman"/>
    </w:rPr>
  </w:style>
  <w:style w:type="paragraph" w:customStyle="1" w:styleId="22">
    <w:name w:val="Подпись к таблице (2)"/>
    <w:basedOn w:val="a"/>
    <w:link w:val="21"/>
    <w:rsid w:val="000D66D7"/>
    <w:pPr>
      <w:widowControl w:val="0"/>
      <w:shd w:val="clear" w:color="auto" w:fill="FFFFFF"/>
      <w:spacing w:after="0" w:line="295" w:lineRule="exact"/>
      <w:ind w:firstLine="720"/>
    </w:pPr>
    <w:rPr>
      <w:rFonts w:ascii="Times New Roman" w:eastAsia="Times New Roman" w:hAnsi="Times New Roman" w:cs="Times New Roman"/>
      <w:i/>
      <w:iCs/>
    </w:rPr>
  </w:style>
  <w:style w:type="paragraph" w:customStyle="1" w:styleId="24">
    <w:name w:val="Основной текст (2)"/>
    <w:basedOn w:val="a"/>
    <w:link w:val="23"/>
    <w:rsid w:val="000D66D7"/>
    <w:pPr>
      <w:widowControl w:val="0"/>
      <w:shd w:val="clear" w:color="auto" w:fill="FFFFFF"/>
      <w:spacing w:after="0" w:line="299" w:lineRule="exact"/>
      <w:jc w:val="both"/>
    </w:pPr>
    <w:rPr>
      <w:rFonts w:ascii="Times New Roman" w:eastAsia="Times New Roman" w:hAnsi="Times New Roman" w:cs="Times New Roman"/>
      <w:sz w:val="23"/>
      <w:szCs w:val="23"/>
    </w:rPr>
  </w:style>
  <w:style w:type="paragraph" w:customStyle="1" w:styleId="13">
    <w:name w:val="Без интервала1"/>
    <w:rsid w:val="000D66D7"/>
    <w:pPr>
      <w:spacing w:after="0" w:line="240" w:lineRule="auto"/>
    </w:pPr>
    <w:rPr>
      <w:rFonts w:ascii="Times New Roman" w:eastAsia="Times New Roman" w:hAnsi="Times New Roman" w:cs="Times New Roman"/>
      <w:sz w:val="24"/>
      <w:szCs w:val="24"/>
      <w:lang w:eastAsia="ru-RU"/>
    </w:rPr>
  </w:style>
  <w:style w:type="paragraph" w:styleId="25">
    <w:name w:val="Body Text 2"/>
    <w:basedOn w:val="a"/>
    <w:link w:val="26"/>
    <w:uiPriority w:val="99"/>
    <w:unhideWhenUsed/>
    <w:rsid w:val="003F1C3F"/>
    <w:pPr>
      <w:spacing w:after="120" w:line="480" w:lineRule="auto"/>
    </w:pPr>
  </w:style>
  <w:style w:type="character" w:customStyle="1" w:styleId="26">
    <w:name w:val="Основной текст 2 Знак"/>
    <w:basedOn w:val="a0"/>
    <w:link w:val="25"/>
    <w:uiPriority w:val="99"/>
    <w:rsid w:val="003F1C3F"/>
  </w:style>
  <w:style w:type="character" w:customStyle="1" w:styleId="10">
    <w:name w:val="Заголовок 1 Знак"/>
    <w:basedOn w:val="a0"/>
    <w:link w:val="1"/>
    <w:uiPriority w:val="9"/>
    <w:rsid w:val="003F1C3F"/>
    <w:rPr>
      <w:rFonts w:ascii="Cambria" w:eastAsia="Times New Roman" w:hAnsi="Cambria" w:cs="Times New Roman"/>
      <w:b/>
      <w:bCs/>
      <w:color w:val="365F91"/>
      <w:sz w:val="28"/>
      <w:szCs w:val="28"/>
      <w:lang w:eastAsia="ru-RU"/>
    </w:rPr>
  </w:style>
  <w:style w:type="character" w:customStyle="1" w:styleId="30">
    <w:name w:val="Заголовок 3 Знак"/>
    <w:basedOn w:val="a0"/>
    <w:link w:val="3"/>
    <w:rsid w:val="003F1C3F"/>
    <w:rPr>
      <w:rFonts w:ascii="Times New Roman" w:eastAsia="Times New Roman" w:hAnsi="Times New Roman" w:cs="Times New Roman"/>
      <w:sz w:val="24"/>
      <w:szCs w:val="20"/>
      <w:lang w:eastAsia="ru-RU"/>
    </w:rPr>
  </w:style>
  <w:style w:type="character" w:styleId="ac">
    <w:name w:val="Hyperlink"/>
    <w:uiPriority w:val="99"/>
    <w:rsid w:val="003F1C3F"/>
    <w:rPr>
      <w:color w:val="0000FF"/>
      <w:u w:val="single"/>
    </w:rPr>
  </w:style>
  <w:style w:type="paragraph" w:styleId="ad">
    <w:name w:val="Balloon Text"/>
    <w:basedOn w:val="a"/>
    <w:link w:val="ae"/>
    <w:unhideWhenUsed/>
    <w:rsid w:val="003F1C3F"/>
    <w:pPr>
      <w:suppressAutoHyphens/>
      <w:spacing w:after="0" w:line="240" w:lineRule="auto"/>
    </w:pPr>
    <w:rPr>
      <w:rFonts w:ascii="Segoe UI" w:eastAsia="Times New Roman" w:hAnsi="Segoe UI" w:cs="Segoe UI"/>
      <w:sz w:val="18"/>
      <w:szCs w:val="18"/>
      <w:lang w:eastAsia="zh-CN"/>
    </w:rPr>
  </w:style>
  <w:style w:type="character" w:customStyle="1" w:styleId="ae">
    <w:name w:val="Текст выноски Знак"/>
    <w:basedOn w:val="a0"/>
    <w:link w:val="ad"/>
    <w:rsid w:val="003F1C3F"/>
    <w:rPr>
      <w:rFonts w:ascii="Segoe UI" w:eastAsia="Times New Roman" w:hAnsi="Segoe UI" w:cs="Segoe UI"/>
      <w:sz w:val="18"/>
      <w:szCs w:val="18"/>
      <w:lang w:eastAsia="zh-CN"/>
    </w:rPr>
  </w:style>
  <w:style w:type="paragraph" w:customStyle="1" w:styleId="110">
    <w:name w:val="Заголовок 11"/>
    <w:basedOn w:val="a"/>
    <w:next w:val="a"/>
    <w:uiPriority w:val="9"/>
    <w:qFormat/>
    <w:rsid w:val="003F1C3F"/>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numbering" w:customStyle="1" w:styleId="14">
    <w:name w:val="Нет списка1"/>
    <w:next w:val="a2"/>
    <w:uiPriority w:val="99"/>
    <w:semiHidden/>
    <w:unhideWhenUsed/>
    <w:rsid w:val="003F1C3F"/>
  </w:style>
  <w:style w:type="paragraph" w:styleId="27">
    <w:name w:val="List 2"/>
    <w:basedOn w:val="a"/>
    <w:rsid w:val="003F1C3F"/>
    <w:pPr>
      <w:spacing w:after="0" w:line="240" w:lineRule="auto"/>
      <w:ind w:left="566" w:hanging="283"/>
    </w:pPr>
    <w:rPr>
      <w:rFonts w:ascii="Times New Roman" w:eastAsia="Times New Roman" w:hAnsi="Times New Roman" w:cs="Times New Roman"/>
      <w:sz w:val="24"/>
      <w:szCs w:val="24"/>
      <w:lang w:eastAsia="ru-RU"/>
    </w:rPr>
  </w:style>
  <w:style w:type="paragraph" w:styleId="af">
    <w:name w:val="footer"/>
    <w:basedOn w:val="a"/>
    <w:link w:val="af0"/>
    <w:rsid w:val="003F1C3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Нижний колонтитул Знак"/>
    <w:basedOn w:val="a0"/>
    <w:link w:val="af"/>
    <w:rsid w:val="003F1C3F"/>
    <w:rPr>
      <w:rFonts w:ascii="Times New Roman" w:eastAsia="Times New Roman" w:hAnsi="Times New Roman" w:cs="Times New Roman"/>
      <w:sz w:val="24"/>
      <w:szCs w:val="24"/>
      <w:lang w:eastAsia="ru-RU"/>
    </w:rPr>
  </w:style>
  <w:style w:type="character" w:styleId="af1">
    <w:name w:val="page number"/>
    <w:basedOn w:val="a0"/>
    <w:rsid w:val="003F1C3F"/>
  </w:style>
  <w:style w:type="paragraph" w:styleId="31">
    <w:name w:val="Body Text 3"/>
    <w:basedOn w:val="a"/>
    <w:link w:val="32"/>
    <w:rsid w:val="003F1C3F"/>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3F1C3F"/>
    <w:rPr>
      <w:rFonts w:ascii="Times New Roman" w:eastAsia="Times New Roman" w:hAnsi="Times New Roman" w:cs="Times New Roman"/>
      <w:sz w:val="16"/>
      <w:szCs w:val="16"/>
      <w:lang w:eastAsia="ru-RU"/>
    </w:rPr>
  </w:style>
  <w:style w:type="paragraph" w:styleId="af2">
    <w:name w:val="Body Text Indent"/>
    <w:basedOn w:val="a"/>
    <w:link w:val="af3"/>
    <w:rsid w:val="003F1C3F"/>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0"/>
    <w:link w:val="af2"/>
    <w:rsid w:val="003F1C3F"/>
    <w:rPr>
      <w:rFonts w:ascii="Times New Roman" w:eastAsia="Times New Roman" w:hAnsi="Times New Roman" w:cs="Times New Roman"/>
      <w:sz w:val="24"/>
      <w:szCs w:val="24"/>
      <w:lang w:eastAsia="ru-RU"/>
    </w:rPr>
  </w:style>
  <w:style w:type="paragraph" w:styleId="af4">
    <w:name w:val="header"/>
    <w:basedOn w:val="a"/>
    <w:link w:val="af5"/>
    <w:uiPriority w:val="99"/>
    <w:rsid w:val="003F1C3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Верхний колонтитул Знак"/>
    <w:basedOn w:val="a0"/>
    <w:link w:val="af4"/>
    <w:uiPriority w:val="99"/>
    <w:rsid w:val="003F1C3F"/>
    <w:rPr>
      <w:rFonts w:ascii="Times New Roman" w:eastAsia="Times New Roman" w:hAnsi="Times New Roman" w:cs="Times New Roman"/>
      <w:sz w:val="24"/>
      <w:szCs w:val="24"/>
      <w:lang w:eastAsia="ru-RU"/>
    </w:rPr>
  </w:style>
  <w:style w:type="paragraph" w:customStyle="1" w:styleId="newncpi0">
    <w:name w:val="newncpi0"/>
    <w:basedOn w:val="a"/>
    <w:rsid w:val="003F1C3F"/>
    <w:pPr>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3F1C3F"/>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FontStyle24">
    <w:name w:val="Font Style24"/>
    <w:uiPriority w:val="99"/>
    <w:rsid w:val="003F1C3F"/>
    <w:rPr>
      <w:rFonts w:ascii="Times New Roman" w:hAnsi="Times New Roman" w:cs="Times New Roman"/>
      <w:sz w:val="26"/>
      <w:szCs w:val="26"/>
    </w:rPr>
  </w:style>
  <w:style w:type="paragraph" w:customStyle="1" w:styleId="Style16">
    <w:name w:val="Style16"/>
    <w:basedOn w:val="a"/>
    <w:uiPriority w:val="99"/>
    <w:rsid w:val="003F1C3F"/>
    <w:pPr>
      <w:widowControl w:val="0"/>
      <w:autoSpaceDE w:val="0"/>
      <w:autoSpaceDN w:val="0"/>
      <w:adjustRightInd w:val="0"/>
      <w:spacing w:after="0" w:line="331" w:lineRule="exact"/>
      <w:jc w:val="both"/>
    </w:pPr>
    <w:rPr>
      <w:rFonts w:ascii="Times New Roman" w:eastAsia="Times New Roman" w:hAnsi="Times New Roman" w:cs="Times New Roman"/>
      <w:sz w:val="24"/>
      <w:szCs w:val="24"/>
      <w:lang w:eastAsia="ru-RU"/>
    </w:rPr>
  </w:style>
  <w:style w:type="paragraph" w:customStyle="1" w:styleId="ConsPlusNormal">
    <w:name w:val="ConsPlusNormal"/>
    <w:uiPriority w:val="99"/>
    <w:rsid w:val="003F1C3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datepr">
    <w:name w:val="datepr"/>
    <w:basedOn w:val="a0"/>
    <w:rsid w:val="003F1C3F"/>
  </w:style>
  <w:style w:type="character" w:customStyle="1" w:styleId="number">
    <w:name w:val="number"/>
    <w:basedOn w:val="a0"/>
    <w:rsid w:val="003F1C3F"/>
  </w:style>
  <w:style w:type="paragraph" w:customStyle="1" w:styleId="Default">
    <w:name w:val="Default"/>
    <w:rsid w:val="003F1C3F"/>
    <w:pPr>
      <w:autoSpaceDE w:val="0"/>
      <w:autoSpaceDN w:val="0"/>
      <w:adjustRightInd w:val="0"/>
      <w:spacing w:after="0" w:line="240" w:lineRule="auto"/>
    </w:pPr>
    <w:rPr>
      <w:rFonts w:ascii="Arial" w:hAnsi="Arial" w:cs="Arial"/>
      <w:color w:val="000000"/>
      <w:sz w:val="24"/>
      <w:szCs w:val="24"/>
    </w:rPr>
  </w:style>
  <w:style w:type="character" w:customStyle="1" w:styleId="111">
    <w:name w:val="Заголовок 1 Знак1"/>
    <w:basedOn w:val="a0"/>
    <w:uiPriority w:val="9"/>
    <w:rsid w:val="003F1C3F"/>
    <w:rPr>
      <w:rFonts w:asciiTheme="majorHAnsi" w:eastAsiaTheme="majorEastAsia" w:hAnsiTheme="majorHAnsi" w:cstheme="majorBidi"/>
      <w:color w:val="2F5496" w:themeColor="accent1" w:themeShade="BF"/>
      <w:sz w:val="32"/>
      <w:szCs w:val="32"/>
      <w:lang w:eastAsia="zh-CN"/>
    </w:rPr>
  </w:style>
  <w:style w:type="paragraph" w:customStyle="1" w:styleId="Style5">
    <w:name w:val="Style5"/>
    <w:basedOn w:val="a"/>
    <w:rsid w:val="00C76747"/>
    <w:pPr>
      <w:widowControl w:val="0"/>
      <w:autoSpaceDE w:val="0"/>
      <w:autoSpaceDN w:val="0"/>
      <w:adjustRightInd w:val="0"/>
      <w:spacing w:after="0" w:line="324" w:lineRule="exact"/>
      <w:ind w:firstLine="576"/>
      <w:jc w:val="both"/>
    </w:pPr>
    <w:rPr>
      <w:rFonts w:ascii="Times New Roman" w:eastAsia="SimSun" w:hAnsi="Times New Roman" w:cs="Times New Roman"/>
      <w:sz w:val="24"/>
      <w:szCs w:val="24"/>
      <w:lang w:eastAsia="zh-CN"/>
    </w:rPr>
  </w:style>
  <w:style w:type="character" w:customStyle="1" w:styleId="FontStyle31">
    <w:name w:val="Font Style31"/>
    <w:rsid w:val="00C76747"/>
    <w:rPr>
      <w:rFonts w:ascii="Times New Roman" w:hAnsi="Times New Roman"/>
      <w:sz w:val="26"/>
    </w:rPr>
  </w:style>
  <w:style w:type="paragraph" w:customStyle="1" w:styleId="FR1">
    <w:name w:val="FR1"/>
    <w:rsid w:val="00ED26BF"/>
    <w:pPr>
      <w:widowControl w:val="0"/>
      <w:autoSpaceDE w:val="0"/>
      <w:autoSpaceDN w:val="0"/>
      <w:adjustRightInd w:val="0"/>
      <w:spacing w:after="0" w:line="320" w:lineRule="auto"/>
      <w:ind w:left="120" w:right="1200"/>
    </w:pPr>
    <w:rPr>
      <w:rFonts w:ascii="Arial" w:eastAsia="Times New Roman" w:hAnsi="Arial" w:cs="Arial"/>
      <w:sz w:val="18"/>
      <w:szCs w:val="18"/>
      <w:lang w:eastAsia="ru-RU"/>
    </w:rPr>
  </w:style>
  <w:style w:type="paragraph" w:styleId="33">
    <w:name w:val="Body Text Indent 3"/>
    <w:basedOn w:val="a"/>
    <w:link w:val="34"/>
    <w:rsid w:val="003F5748"/>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rsid w:val="003F5748"/>
    <w:rPr>
      <w:rFonts w:ascii="Times New Roman" w:eastAsia="Times New Roman" w:hAnsi="Times New Roman" w:cs="Times New Roman"/>
      <w:sz w:val="16"/>
      <w:szCs w:val="16"/>
      <w:lang w:eastAsia="ru-RU"/>
    </w:rPr>
  </w:style>
  <w:style w:type="paragraph" w:customStyle="1" w:styleId="28">
    <w:name w:val="Абзац списка2"/>
    <w:basedOn w:val="a"/>
    <w:rsid w:val="003F0853"/>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Style13">
    <w:name w:val="Style13"/>
    <w:basedOn w:val="a"/>
    <w:rsid w:val="00D00E3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Pa2">
    <w:name w:val="Pa2"/>
    <w:basedOn w:val="a"/>
    <w:next w:val="a"/>
    <w:rsid w:val="007D48E2"/>
    <w:pPr>
      <w:autoSpaceDE w:val="0"/>
      <w:autoSpaceDN w:val="0"/>
      <w:adjustRightInd w:val="0"/>
      <w:spacing w:after="0" w:line="241" w:lineRule="atLeast"/>
    </w:pPr>
    <w:rPr>
      <w:rFonts w:ascii="Helvetica" w:eastAsia="Calibri" w:hAnsi="Helvetica" w:cs="Helvetica"/>
      <w:sz w:val="24"/>
      <w:szCs w:val="24"/>
      <w:lang w:eastAsia="ru-RU"/>
    </w:rPr>
  </w:style>
  <w:style w:type="character" w:customStyle="1" w:styleId="A10">
    <w:name w:val="A1"/>
    <w:rsid w:val="007D48E2"/>
    <w:rPr>
      <w:color w:val="000000"/>
      <w:sz w:val="14"/>
      <w:szCs w:val="14"/>
    </w:rPr>
  </w:style>
  <w:style w:type="paragraph" w:styleId="af6">
    <w:name w:val="Normal (Web)"/>
    <w:basedOn w:val="a"/>
    <w:uiPriority w:val="99"/>
    <w:semiHidden/>
    <w:unhideWhenUsed/>
    <w:rsid w:val="004E6D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
    <w:name w:val="Заголовок №1_"/>
    <w:link w:val="16"/>
    <w:uiPriority w:val="99"/>
    <w:locked/>
    <w:rsid w:val="00874025"/>
    <w:rPr>
      <w:b/>
      <w:bCs/>
      <w:sz w:val="26"/>
      <w:szCs w:val="26"/>
      <w:shd w:val="clear" w:color="auto" w:fill="FFFFFF"/>
    </w:rPr>
  </w:style>
  <w:style w:type="paragraph" w:customStyle="1" w:styleId="16">
    <w:name w:val="Заголовок №1"/>
    <w:basedOn w:val="a"/>
    <w:link w:val="15"/>
    <w:uiPriority w:val="99"/>
    <w:rsid w:val="00874025"/>
    <w:pPr>
      <w:shd w:val="clear" w:color="auto" w:fill="FFFFFF"/>
      <w:spacing w:after="0" w:line="302" w:lineRule="exact"/>
      <w:jc w:val="center"/>
      <w:outlineLvl w:val="0"/>
    </w:pPr>
    <w:rPr>
      <w:b/>
      <w:bCs/>
      <w:sz w:val="26"/>
      <w:szCs w:val="26"/>
    </w:rPr>
  </w:style>
  <w:style w:type="paragraph" w:customStyle="1" w:styleId="17">
    <w:name w:val="Знак Знак1"/>
    <w:basedOn w:val="a"/>
    <w:autoRedefine/>
    <w:rsid w:val="002568BA"/>
    <w:pPr>
      <w:autoSpaceDE w:val="0"/>
      <w:autoSpaceDN w:val="0"/>
      <w:adjustRightInd w:val="0"/>
      <w:spacing w:after="0" w:line="240" w:lineRule="auto"/>
    </w:pPr>
    <w:rPr>
      <w:rFonts w:ascii="Arial" w:eastAsia="Times New Roman" w:hAnsi="Arial" w:cs="Arial"/>
      <w:sz w:val="20"/>
      <w:szCs w:val="20"/>
      <w:lang w:val="en-ZA" w:eastAsia="en-ZA"/>
    </w:rPr>
  </w:style>
  <w:style w:type="paragraph" w:customStyle="1" w:styleId="29">
    <w:name w:val="Без интервала2"/>
    <w:rsid w:val="00222B7C"/>
    <w:pPr>
      <w:spacing w:after="0" w:line="240" w:lineRule="auto"/>
    </w:pPr>
    <w:rPr>
      <w:rFonts w:ascii="Times New Roman" w:eastAsia="Times New Roman" w:hAnsi="Times New Roman" w:cs="Times New Roman"/>
      <w:sz w:val="24"/>
      <w:szCs w:val="24"/>
      <w:lang w:eastAsia="ru-RU"/>
    </w:rPr>
  </w:style>
  <w:style w:type="paragraph" w:customStyle="1" w:styleId="35">
    <w:name w:val="Абзац списка3"/>
    <w:basedOn w:val="a"/>
    <w:qFormat/>
    <w:rsid w:val="00222B7C"/>
    <w:pPr>
      <w:spacing w:after="200" w:line="276" w:lineRule="auto"/>
      <w:ind w:left="720"/>
      <w:contextualSpacing/>
    </w:pPr>
    <w:rPr>
      <w:rFonts w:ascii="Calibri" w:eastAsia="Times New Roman" w:hAnsi="Calibri" w:cs="Times New Roman"/>
    </w:rPr>
  </w:style>
  <w:style w:type="character" w:customStyle="1" w:styleId="18">
    <w:name w:val="Основной текст Знак1"/>
    <w:basedOn w:val="a0"/>
    <w:uiPriority w:val="99"/>
    <w:rsid w:val="009840FF"/>
    <w:rPr>
      <w:rFonts w:ascii="Bookman Old Style" w:hAnsi="Bookman Old Style"/>
      <w:sz w:val="24"/>
    </w:rPr>
  </w:style>
  <w:style w:type="character" w:customStyle="1" w:styleId="fontstyle01">
    <w:name w:val="fontstyle01"/>
    <w:basedOn w:val="a0"/>
    <w:rsid w:val="009840FF"/>
    <w:rPr>
      <w:rFonts w:ascii="SiemensSansGlobal-Regular" w:hAnsi="SiemensSansGlobal-Regular" w:hint="default"/>
      <w:b w:val="0"/>
      <w:bCs w:val="0"/>
      <w:i w:val="0"/>
      <w:iCs w:val="0"/>
      <w:color w:val="000000"/>
      <w:sz w:val="20"/>
      <w:szCs w:val="20"/>
    </w:rPr>
  </w:style>
  <w:style w:type="character" w:customStyle="1" w:styleId="normaltextrun">
    <w:name w:val="normaltextrun"/>
    <w:basedOn w:val="a0"/>
    <w:rsid w:val="009840FF"/>
  </w:style>
  <w:style w:type="character" w:customStyle="1" w:styleId="eop">
    <w:name w:val="eop"/>
    <w:basedOn w:val="a0"/>
    <w:rsid w:val="009840FF"/>
  </w:style>
  <w:style w:type="character" w:customStyle="1" w:styleId="FontStyle34">
    <w:name w:val="Font Style34"/>
    <w:rsid w:val="00911F51"/>
    <w:rPr>
      <w:rFonts w:ascii="Times New Roman" w:hAnsi="Times New Roman" w:cs="Times New Roman"/>
      <w:b/>
      <w:bCs/>
      <w:sz w:val="26"/>
      <w:szCs w:val="26"/>
    </w:rPr>
  </w:style>
  <w:style w:type="paragraph" w:customStyle="1" w:styleId="4">
    <w:name w:val="Абзац списка4"/>
    <w:basedOn w:val="a"/>
    <w:rsid w:val="00821324"/>
    <w:pPr>
      <w:spacing w:after="0" w:line="240" w:lineRule="auto"/>
      <w:ind w:left="720"/>
      <w:contextualSpacing/>
    </w:pPr>
    <w:rPr>
      <w:rFonts w:ascii="Times New Roman" w:eastAsia="Times New Roman" w:hAnsi="Times New Roman" w:cs="Times New Roman"/>
      <w:sz w:val="24"/>
      <w:szCs w:val="24"/>
      <w:lang w:eastAsia="ru-RU"/>
    </w:rPr>
  </w:style>
  <w:style w:type="table" w:customStyle="1" w:styleId="19">
    <w:name w:val="Сетка таблицы1"/>
    <w:basedOn w:val="a1"/>
    <w:next w:val="a8"/>
    <w:uiPriority w:val="59"/>
    <w:rsid w:val="00662416"/>
    <w:pPr>
      <w:spacing w:after="0" w:line="240" w:lineRule="auto"/>
    </w:pPr>
    <w:rPr>
      <w:rFonts w:ascii="Georgia" w:eastAsia="Times New Roman" w:hAnsi="Georgia"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1"/>
    <w:next w:val="a8"/>
    <w:uiPriority w:val="59"/>
    <w:rsid w:val="00662416"/>
    <w:pPr>
      <w:spacing w:after="0" w:line="240" w:lineRule="auto"/>
    </w:pPr>
    <w:rPr>
      <w:rFonts w:ascii="Georgia" w:eastAsia="Times New Roman" w:hAnsi="Georgia"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8"/>
    <w:uiPriority w:val="59"/>
    <w:rsid w:val="00662416"/>
    <w:pPr>
      <w:spacing w:after="0" w:line="240" w:lineRule="auto"/>
    </w:pPr>
    <w:rPr>
      <w:rFonts w:ascii="Georgia" w:eastAsia="Times New Roman" w:hAnsi="Georgia"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8"/>
    <w:uiPriority w:val="59"/>
    <w:rsid w:val="00662416"/>
    <w:pPr>
      <w:spacing w:after="0" w:line="240" w:lineRule="auto"/>
    </w:pPr>
    <w:rPr>
      <w:rFonts w:ascii="Georgia" w:eastAsia="Times New Roman" w:hAnsi="Georgia"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8"/>
    <w:uiPriority w:val="59"/>
    <w:rsid w:val="00662416"/>
    <w:pPr>
      <w:spacing w:after="0" w:line="240" w:lineRule="auto"/>
    </w:pPr>
    <w:rPr>
      <w:rFonts w:ascii="Georgia" w:eastAsia="Times New Roman" w:hAnsi="Georgia"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8"/>
    <w:uiPriority w:val="59"/>
    <w:rsid w:val="00662416"/>
    <w:pPr>
      <w:spacing w:after="0" w:line="240" w:lineRule="auto"/>
    </w:pPr>
    <w:rPr>
      <w:rFonts w:ascii="Georgia" w:eastAsia="Times New Roman" w:hAnsi="Georgia"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a"/>
    <w:rsid w:val="00976098"/>
    <w:pPr>
      <w:widowControl w:val="0"/>
      <w:autoSpaceDE w:val="0"/>
      <w:autoSpaceDN w:val="0"/>
      <w:adjustRightInd w:val="0"/>
      <w:spacing w:after="0" w:line="221" w:lineRule="exact"/>
      <w:jc w:val="center"/>
    </w:pPr>
    <w:rPr>
      <w:rFonts w:ascii="Times New Roman" w:eastAsia="Times New Roman" w:hAnsi="Times New Roman" w:cs="Times New Roman"/>
      <w:sz w:val="24"/>
      <w:szCs w:val="24"/>
      <w:lang w:eastAsia="ru-RU"/>
    </w:rPr>
  </w:style>
  <w:style w:type="character" w:customStyle="1" w:styleId="FontStyle15">
    <w:name w:val="Font Style15"/>
    <w:basedOn w:val="a0"/>
    <w:rsid w:val="00976098"/>
    <w:rPr>
      <w:rFonts w:ascii="Times New Roman" w:hAnsi="Times New Roman" w:cs="Times New Roman" w:hint="default"/>
      <w:sz w:val="18"/>
      <w:szCs w:val="18"/>
    </w:rPr>
  </w:style>
  <w:style w:type="paragraph" w:customStyle="1" w:styleId="50">
    <w:name w:val="Абзац списка5"/>
    <w:basedOn w:val="a"/>
    <w:rsid w:val="006E1AAD"/>
    <w:pPr>
      <w:spacing w:after="0" w:line="240" w:lineRule="auto"/>
      <w:ind w:left="720"/>
      <w:contextualSpacing/>
    </w:pPr>
    <w:rPr>
      <w:rFonts w:ascii="Times New Roman" w:eastAsia="Times New Roman" w:hAnsi="Times New Roman" w:cs="Times New Roman"/>
      <w:sz w:val="30"/>
      <w:szCs w:val="20"/>
    </w:rPr>
  </w:style>
  <w:style w:type="paragraph" w:customStyle="1" w:styleId="37">
    <w:name w:val="Без интервала3"/>
    <w:rsid w:val="00E06F54"/>
    <w:pPr>
      <w:spacing w:after="0" w:line="240" w:lineRule="auto"/>
    </w:pPr>
    <w:rPr>
      <w:rFonts w:ascii="Times New Roman" w:eastAsia="Times New Roman" w:hAnsi="Times New Roman" w:cs="Times New Roman"/>
      <w:sz w:val="24"/>
      <w:szCs w:val="24"/>
      <w:lang w:eastAsia="ru-RU"/>
    </w:rPr>
  </w:style>
  <w:style w:type="paragraph" w:customStyle="1" w:styleId="60">
    <w:name w:val="Абзац списка6"/>
    <w:basedOn w:val="a"/>
    <w:qFormat/>
    <w:rsid w:val="00E06F54"/>
    <w:pPr>
      <w:spacing w:after="200" w:line="276" w:lineRule="auto"/>
      <w:ind w:left="720"/>
      <w:contextualSpacing/>
    </w:pPr>
    <w:rPr>
      <w:rFonts w:ascii="Calibri" w:eastAsia="Times New Roman" w:hAnsi="Calibri" w:cs="Times New Roman"/>
    </w:rPr>
  </w:style>
  <w:style w:type="paragraph" w:styleId="af7">
    <w:name w:val="Title"/>
    <w:basedOn w:val="a"/>
    <w:next w:val="a"/>
    <w:link w:val="af8"/>
    <w:uiPriority w:val="10"/>
    <w:qFormat/>
    <w:rsid w:val="00B346AD"/>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af8">
    <w:name w:val="Заголовок Знак"/>
    <w:basedOn w:val="a0"/>
    <w:link w:val="af7"/>
    <w:uiPriority w:val="10"/>
    <w:rsid w:val="00B346AD"/>
    <w:rPr>
      <w:rFonts w:asciiTheme="majorHAnsi" w:eastAsiaTheme="majorEastAsia" w:hAnsiTheme="majorHAnsi" w:cstheme="majorBidi"/>
      <w:spacing w:val="-10"/>
      <w:kern w:val="28"/>
      <w:sz w:val="56"/>
      <w:szCs w:val="56"/>
      <w:lang w:eastAsia="ru-RU"/>
    </w:rPr>
  </w:style>
  <w:style w:type="numbering" w:customStyle="1" w:styleId="2b">
    <w:name w:val="Нет списка2"/>
    <w:next w:val="a2"/>
    <w:uiPriority w:val="99"/>
    <w:semiHidden/>
    <w:unhideWhenUsed/>
    <w:rsid w:val="0054018C"/>
  </w:style>
  <w:style w:type="table" w:customStyle="1" w:styleId="7">
    <w:name w:val="Сетка таблицы7"/>
    <w:basedOn w:val="a1"/>
    <w:next w:val="a8"/>
    <w:uiPriority w:val="59"/>
    <w:rsid w:val="005401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81066">
      <w:bodyDiv w:val="1"/>
      <w:marLeft w:val="0"/>
      <w:marRight w:val="0"/>
      <w:marTop w:val="0"/>
      <w:marBottom w:val="0"/>
      <w:divBdr>
        <w:top w:val="none" w:sz="0" w:space="0" w:color="auto"/>
        <w:left w:val="none" w:sz="0" w:space="0" w:color="auto"/>
        <w:bottom w:val="none" w:sz="0" w:space="0" w:color="auto"/>
        <w:right w:val="none" w:sz="0" w:space="0" w:color="auto"/>
      </w:divBdr>
    </w:div>
    <w:div w:id="871308231">
      <w:bodyDiv w:val="1"/>
      <w:marLeft w:val="0"/>
      <w:marRight w:val="0"/>
      <w:marTop w:val="0"/>
      <w:marBottom w:val="0"/>
      <w:divBdr>
        <w:top w:val="none" w:sz="0" w:space="0" w:color="auto"/>
        <w:left w:val="none" w:sz="0" w:space="0" w:color="auto"/>
        <w:bottom w:val="none" w:sz="0" w:space="0" w:color="auto"/>
        <w:right w:val="none" w:sz="0" w:space="0" w:color="auto"/>
      </w:divBdr>
    </w:div>
    <w:div w:id="912275372">
      <w:bodyDiv w:val="1"/>
      <w:marLeft w:val="0"/>
      <w:marRight w:val="0"/>
      <w:marTop w:val="0"/>
      <w:marBottom w:val="0"/>
      <w:divBdr>
        <w:top w:val="none" w:sz="0" w:space="0" w:color="auto"/>
        <w:left w:val="none" w:sz="0" w:space="0" w:color="auto"/>
        <w:bottom w:val="none" w:sz="0" w:space="0" w:color="auto"/>
        <w:right w:val="none" w:sz="0" w:space="0" w:color="auto"/>
      </w:divBdr>
    </w:div>
    <w:div w:id="948781448">
      <w:bodyDiv w:val="1"/>
      <w:marLeft w:val="0"/>
      <w:marRight w:val="0"/>
      <w:marTop w:val="0"/>
      <w:marBottom w:val="0"/>
      <w:divBdr>
        <w:top w:val="none" w:sz="0" w:space="0" w:color="auto"/>
        <w:left w:val="none" w:sz="0" w:space="0" w:color="auto"/>
        <w:bottom w:val="none" w:sz="0" w:space="0" w:color="auto"/>
        <w:right w:val="none" w:sz="0" w:space="0" w:color="auto"/>
      </w:divBdr>
    </w:div>
    <w:div w:id="1011641213">
      <w:bodyDiv w:val="1"/>
      <w:marLeft w:val="0"/>
      <w:marRight w:val="0"/>
      <w:marTop w:val="0"/>
      <w:marBottom w:val="0"/>
      <w:divBdr>
        <w:top w:val="none" w:sz="0" w:space="0" w:color="auto"/>
        <w:left w:val="none" w:sz="0" w:space="0" w:color="auto"/>
        <w:bottom w:val="none" w:sz="0" w:space="0" w:color="auto"/>
        <w:right w:val="none" w:sz="0" w:space="0" w:color="auto"/>
      </w:divBdr>
    </w:div>
    <w:div w:id="1376005565">
      <w:bodyDiv w:val="1"/>
      <w:marLeft w:val="0"/>
      <w:marRight w:val="0"/>
      <w:marTop w:val="0"/>
      <w:marBottom w:val="0"/>
      <w:divBdr>
        <w:top w:val="none" w:sz="0" w:space="0" w:color="auto"/>
        <w:left w:val="none" w:sz="0" w:space="0" w:color="auto"/>
        <w:bottom w:val="none" w:sz="0" w:space="0" w:color="auto"/>
        <w:right w:val="none" w:sz="0" w:space="0" w:color="auto"/>
      </w:divBdr>
    </w:div>
    <w:div w:id="1397900914">
      <w:bodyDiv w:val="1"/>
      <w:marLeft w:val="0"/>
      <w:marRight w:val="0"/>
      <w:marTop w:val="0"/>
      <w:marBottom w:val="0"/>
      <w:divBdr>
        <w:top w:val="none" w:sz="0" w:space="0" w:color="auto"/>
        <w:left w:val="none" w:sz="0" w:space="0" w:color="auto"/>
        <w:bottom w:val="none" w:sz="0" w:space="0" w:color="auto"/>
        <w:right w:val="none" w:sz="0" w:space="0" w:color="auto"/>
      </w:divBdr>
    </w:div>
    <w:div w:id="1462111756">
      <w:bodyDiv w:val="1"/>
      <w:marLeft w:val="0"/>
      <w:marRight w:val="0"/>
      <w:marTop w:val="0"/>
      <w:marBottom w:val="0"/>
      <w:divBdr>
        <w:top w:val="none" w:sz="0" w:space="0" w:color="auto"/>
        <w:left w:val="none" w:sz="0" w:space="0" w:color="auto"/>
        <w:bottom w:val="none" w:sz="0" w:space="0" w:color="auto"/>
        <w:right w:val="none" w:sz="0" w:space="0" w:color="auto"/>
      </w:divBdr>
    </w:div>
    <w:div w:id="1490516152">
      <w:bodyDiv w:val="1"/>
      <w:marLeft w:val="0"/>
      <w:marRight w:val="0"/>
      <w:marTop w:val="0"/>
      <w:marBottom w:val="0"/>
      <w:divBdr>
        <w:top w:val="none" w:sz="0" w:space="0" w:color="auto"/>
        <w:left w:val="none" w:sz="0" w:space="0" w:color="auto"/>
        <w:bottom w:val="none" w:sz="0" w:space="0" w:color="auto"/>
        <w:right w:val="none" w:sz="0" w:space="0" w:color="auto"/>
      </w:divBdr>
    </w:div>
    <w:div w:id="1866556797">
      <w:bodyDiv w:val="1"/>
      <w:marLeft w:val="0"/>
      <w:marRight w:val="0"/>
      <w:marTop w:val="0"/>
      <w:marBottom w:val="0"/>
      <w:divBdr>
        <w:top w:val="none" w:sz="0" w:space="0" w:color="auto"/>
        <w:left w:val="none" w:sz="0" w:space="0" w:color="auto"/>
        <w:bottom w:val="none" w:sz="0" w:space="0" w:color="auto"/>
        <w:right w:val="none" w:sz="0" w:space="0" w:color="auto"/>
      </w:divBdr>
    </w:div>
    <w:div w:id="205596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DEBFF-FFE7-4C1D-B0DA-109FC2408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25</Pages>
  <Words>7563</Words>
  <Characters>43111</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cp:lastPrinted>2026-07-29T13:11:00Z</cp:lastPrinted>
  <dcterms:created xsi:type="dcterms:W3CDTF">2026-06-29T07:43:00Z</dcterms:created>
  <dcterms:modified xsi:type="dcterms:W3CDTF">2026-10-20T13:38:00Z</dcterms:modified>
</cp:coreProperties>
</file>