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20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ЗАЯВКА НА ПОКУПКУ «26/39-7 Инсулин </w:t>
      </w:r>
      <w:proofErr w:type="spellStart"/>
      <w:r>
        <w:rPr>
          <w:rFonts w:ascii="Times New Roman" w:eastAsia="Times New Roman" w:hAnsi="Times New Roman" w:cs="Times New Roman"/>
          <w:sz w:val="28"/>
          <w:szCs w:val="28"/>
          <w:lang w:eastAsia="ru-RU"/>
        </w:rPr>
        <w:t>детемир</w:t>
      </w:r>
      <w:proofErr w:type="spellEnd"/>
      <w:r>
        <w:rPr>
          <w:rFonts w:ascii="Times New Roman" w:eastAsia="Times New Roman" w:hAnsi="Times New Roman" w:cs="Times New Roman"/>
          <w:sz w:val="28"/>
          <w:szCs w:val="28"/>
          <w:lang w:eastAsia="ru-RU"/>
        </w:rPr>
        <w:t xml:space="preserve"> (зарегистрированное/ незарегистрированное ЛС)»</w:t>
      </w:r>
    </w:p>
    <w:p>
      <w:pPr>
        <w:spacing w:before="20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14.09.2026</w:t>
      </w:r>
    </w:p>
    <w:p>
      <w:pPr>
        <w:spacing w:after="0" w:line="240" w:lineRule="auto"/>
        <w:ind w:firstLine="450"/>
        <w:jc w:val="center"/>
        <w:rPr>
          <w:rFonts w:ascii="Times New Roman" w:eastAsia="Times New Roman" w:hAnsi="Times New Roman" w:cs="Times New Roman"/>
          <w:color w:val="242424"/>
          <w:sz w:val="30"/>
          <w:szCs w:val="30"/>
          <w:lang w:eastAsia="ru-RU"/>
        </w:rPr>
      </w:pPr>
    </w:p>
    <w:tbl>
      <w:tblPr>
        <w:tblW w:w="9773" w:type="dxa"/>
        <w:tblCellMar>
          <w:top w:w="15" w:type="dxa"/>
          <w:left w:w="15" w:type="dxa"/>
          <w:bottom w:w="15" w:type="dxa"/>
          <w:right w:w="15" w:type="dxa"/>
        </w:tblCellMar>
        <w:tblLook w:val="04A0" w:firstRow="1" w:lastRow="0" w:firstColumn="1" w:lastColumn="0" w:noHBand="0" w:noVBand="1"/>
      </w:tblPr>
      <w:tblGrid>
        <w:gridCol w:w="3134"/>
        <w:gridCol w:w="6639"/>
      </w:tblGrid>
      <w:tr>
        <w:tc>
          <w:tcPr>
            <w:tcW w:w="9773" w:type="dxa"/>
            <w:gridSpan w:val="2"/>
            <w:tcBorders>
              <w:top w:val="single" w:sz="6" w:space="0" w:color="auto"/>
              <w:left w:val="single" w:sz="6" w:space="0" w:color="auto"/>
              <w:bottom w:val="single" w:sz="6" w:space="0" w:color="auto"/>
              <w:right w:val="single" w:sz="6" w:space="0" w:color="auto"/>
            </w:tcBorders>
            <w:hideMark/>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 Сведения о виде процедуры государственной закупки</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Вид процедуры государственной закупки</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Процедура закупки из одного источника на электронной торговой площадке</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 7 приложения к Закону Республики Беларусь от 13 июля 2012 г. № 419-З «О государственных закупках товаров (работ, услуг)» (далее - Закон № 419-З), ч. 1 подп. 1.1 п. 1 постановления Совета Министров Республики Беларусь от 08.05.2025 № 252 «О случаях и порядке проведения процедуры закупки из одного источника на электронной торговой площадке»</w:t>
            </w:r>
          </w:p>
        </w:tc>
      </w:tr>
      <w:tr>
        <w:tc>
          <w:tcPr>
            <w:tcW w:w="9773" w:type="dxa"/>
            <w:gridSpan w:val="2"/>
            <w:tcBorders>
              <w:top w:val="nil"/>
              <w:left w:val="single" w:sz="6" w:space="0" w:color="auto"/>
              <w:bottom w:val="single" w:sz="6" w:space="0" w:color="auto"/>
              <w:right w:val="single" w:sz="6" w:space="0" w:color="auto"/>
            </w:tcBorders>
            <w:hideMark/>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 Сведения о заказчике</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(фамилия, собственное имя, отчество (если таковое имеется) - для индивидуального предпринимателя)</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Изложено в Приложении №2</w:t>
            </w:r>
            <w:bookmarkStart w:id="0" w:name="_GoBack"/>
            <w:bookmarkEnd w:id="0"/>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(место жительства)</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Изложено в Приложении №2</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 (при наличии)</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Изложено в Приложении №2</w:t>
            </w:r>
          </w:p>
        </w:tc>
      </w:tr>
      <w:tr>
        <w:tc>
          <w:tcPr>
            <w:tcW w:w="9773" w:type="dxa"/>
            <w:gridSpan w:val="2"/>
            <w:tcBorders>
              <w:top w:val="nil"/>
              <w:left w:val="single" w:sz="6" w:space="0" w:color="auto"/>
              <w:bottom w:val="single" w:sz="6" w:space="0" w:color="auto"/>
              <w:right w:val="single" w:sz="6" w:space="0" w:color="auto"/>
            </w:tcBorders>
            <w:hideMark/>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III. Сведения об организаторе</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Торгово-производственное республиканское унитарное предприятие «БЕЛФАРМАЦИЯ»</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220005, г. Минск, ул. В. </w:t>
            </w:r>
            <w:proofErr w:type="spellStart"/>
            <w:r>
              <w:rPr>
                <w:rFonts w:ascii="Times New Roman" w:eastAsia="Times New Roman" w:hAnsi="Times New Roman" w:cs="Times New Roman"/>
                <w:lang w:eastAsia="ru-RU"/>
              </w:rPr>
              <w:t>Хоружей</w:t>
            </w:r>
            <w:proofErr w:type="spellEnd"/>
            <w:r>
              <w:rPr>
                <w:rFonts w:ascii="Times New Roman" w:eastAsia="Times New Roman" w:hAnsi="Times New Roman" w:cs="Times New Roman"/>
                <w:lang w:eastAsia="ru-RU"/>
              </w:rPr>
              <w:t>, 11</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100364237</w:t>
            </w:r>
          </w:p>
        </w:tc>
      </w:tr>
      <w:tr>
        <w:tc>
          <w:tcPr>
            <w:tcW w:w="9773" w:type="dxa"/>
            <w:gridSpan w:val="2"/>
            <w:tcBorders>
              <w:top w:val="nil"/>
              <w:left w:val="single" w:sz="6" w:space="0" w:color="auto"/>
              <w:bottom w:val="single" w:sz="6" w:space="0" w:color="auto"/>
              <w:right w:val="single" w:sz="6" w:space="0" w:color="auto"/>
            </w:tcBorders>
            <w:hideMark/>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IV. Сведения о предмете государственной закупки (Приложение №1)</w:t>
            </w:r>
          </w:p>
        </w:tc>
      </w:tr>
      <w:tr>
        <w:tc>
          <w:tcPr>
            <w:tcW w:w="9773" w:type="dxa"/>
            <w:gridSpan w:val="2"/>
            <w:tcBorders>
              <w:top w:val="nil"/>
              <w:left w:val="single" w:sz="6" w:space="0" w:color="auto"/>
              <w:bottom w:val="single" w:sz="6" w:space="0" w:color="auto"/>
              <w:right w:val="single" w:sz="6" w:space="0" w:color="auto"/>
            </w:tcBorders>
            <w:hideMark/>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V. Сведения о процедуре закупки из одного источника</w:t>
            </w:r>
          </w:p>
        </w:tc>
      </w:tr>
      <w:tr>
        <w:tc>
          <w:tcPr>
            <w:tcW w:w="3134" w:type="dxa"/>
            <w:tcBorders>
              <w:top w:val="nil"/>
              <w:left w:val="single" w:sz="6" w:space="0" w:color="auto"/>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предоставления документов</w:t>
            </w:r>
          </w:p>
        </w:tc>
        <w:tc>
          <w:tcPr>
            <w:tcW w:w="6639" w:type="dxa"/>
            <w:tcBorders>
              <w:top w:val="nil"/>
              <w:left w:val="single" w:sz="6" w:space="0" w:color="auto"/>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Документы и (или) сведения предоставляются поставщиками на белорусском и (или) русском языках посредством их размещения на электронной торговой площадке в сроки, определенные заказчиком (организатором), с обязательным их подписанием электронной цифровой подписью.</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Копии документов, исполненных на иностранном языке, представляются с переводом на русский и (или) белорусский языки.</w:t>
            </w:r>
          </w:p>
          <w:p>
            <w:pPr>
              <w:spacing w:after="0" w:line="240" w:lineRule="auto"/>
              <w:rPr>
                <w:rFonts w:ascii="Times New Roman" w:eastAsia="Times New Roman" w:hAnsi="Times New Roman" w:cs="Times New Roman"/>
                <w:lang w:eastAsia="ru-RU"/>
              </w:rPr>
            </w:pPr>
            <w:r>
              <w:rPr>
                <w:rFonts w:ascii="Times New Roman" w:eastAsia="Calibri" w:hAnsi="Times New Roman" w:cs="Times New Roman"/>
                <w:b/>
                <w:color w:val="000000"/>
              </w:rPr>
              <w:t>Вместе с предложением рекомендуем поставщику предоставить информацию для подготовки договора/ контракта по форме приложения 4 к заявке на покупку.</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Конечная дата (дата истечения срока) предоставления документов и (или) сведений поставщиками </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17.09.2026</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размещения поставщиком на электронной торговой площадке запроса о разъяснении заявки на покупку</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15.09.2026 15:00</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размещения заказчиком на электронной торговой площадке ответа на запрос поставщика   о разъяснении заявки на покупку</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16.09.2026 18:00</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Предельная стоимость предмета государственной закупки</w:t>
            </w:r>
          </w:p>
        </w:tc>
        <w:tc>
          <w:tcPr>
            <w:tcW w:w="6639" w:type="dxa"/>
            <w:tcBorders>
              <w:top w:val="nil"/>
              <w:left w:val="nil"/>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Изложено в Приложении №1</w:t>
            </w:r>
          </w:p>
        </w:tc>
      </w:tr>
      <w:tr>
        <w:tc>
          <w:tcPr>
            <w:tcW w:w="3134" w:type="dxa"/>
            <w:tcBorders>
              <w:top w:val="nil"/>
              <w:left w:val="single" w:sz="6" w:space="0" w:color="auto"/>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 к содержанию предложения</w:t>
            </w:r>
          </w:p>
        </w:tc>
        <w:tc>
          <w:tcPr>
            <w:tcW w:w="6639" w:type="dxa"/>
            <w:tcBorders>
              <w:top w:val="nil"/>
              <w:left w:val="nil"/>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лекарственное средство является зарегистрированным в Республике Беларусь,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Допускаются к участию в процедуре государственной закупки зарегистрированных лекарственных средств лекарственные средства в упаковке с дизайном, отличным от согласованного Министерством здравоохранения Республики Беларусь, произведенные для российского рынка с приложением к каждой упаковке инструкции, согласованной при регистрации в Республике Беларусь;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произведенные для иных рынков, при предоставлении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исключительно в условиях стационара, либо с русскоязычным </w:t>
            </w:r>
            <w:proofErr w:type="spellStart"/>
            <w:r>
              <w:rPr>
                <w:rFonts w:ascii="Times New Roman" w:eastAsia="Times New Roman" w:hAnsi="Times New Roman" w:cs="Times New Roman"/>
                <w:lang w:eastAsia="ru-RU"/>
              </w:rPr>
              <w:t>стикером</w:t>
            </w:r>
            <w:proofErr w:type="spellEnd"/>
            <w:r>
              <w:rPr>
                <w:rFonts w:ascii="Times New Roman" w:eastAsia="Times New Roman" w:hAnsi="Times New Roman" w:cs="Times New Roman"/>
                <w:lang w:eastAsia="ru-RU"/>
              </w:rPr>
              <w:t xml:space="preserve"> и с предоставлением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«Фармация».</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если по результатам процедуры государственной закупки победителем будет определен поставщик, предложивший к поставке лекарственное средство в упаковке с дизайном для иных рынков, при поставке товара поставщик должен представить полный пакет документов для получения разрешения на реализацию в дизайне упаковки, отличном от согласованного Министерством здравоохранения Республики Беларусь, в соответствии с законодательством Республики Беларусь, в том числе ходатайство от производителя или держателя регистрационного удостоверения</w:t>
            </w:r>
            <w:r>
              <w:rPr>
                <w:rFonts w:ascii="Times New Roman" w:eastAsia="Times New Roman" w:hAnsi="Times New Roman" w:cs="Times New Roman"/>
                <w:lang w:eastAsia="ru-RU"/>
              </w:rPr>
              <w:t>.</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 соответствующими ранее согласованным дизайну и инструкции, при условии, что данные лекарственные средства произведены не позднее 180 дней с момента утверждения изменений.</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В случае, если поставщик предлагает к поставке лекарственное средство, на которое зарегистрирована предельная отпускная цена производителя, то предложение такого участника не может ее превышать. Предложение поставщика на поставку лекарственного средства отклоняется, если закупаемое лекарственное средство включено в перечень лекарственных препаратов, предельные отпускные цены на которые подлежат регистрации, но цена на предложенное к поставке лекарственное средство не зарегистрирована (отсутствует в «Государственном реестре предельных отпускных цен производителей на лекарственные средства»).</w:t>
            </w:r>
          </w:p>
          <w:p>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Допускаются к поставке лекарственные средства незарегистрированные в Республике Беларусь.</w:t>
            </w:r>
          </w:p>
          <w:p>
            <w:pPr>
              <w:spacing w:after="0" w:line="240" w:lineRule="auto"/>
              <w:rPr>
                <w:rFonts w:ascii="Times New Roman" w:eastAsia="Times New Roman" w:hAnsi="Times New Roman" w:cs="Times New Roman"/>
                <w:b/>
                <w:lang w:eastAsia="ru-RU"/>
              </w:rPr>
            </w:pPr>
          </w:p>
          <w:p>
            <w:pPr>
              <w:spacing w:after="0" w:line="240" w:lineRule="auto"/>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Лекарственный препарат должен соответствовать следующим требованиям заявки на закупку:</w:t>
            </w:r>
          </w:p>
          <w:p>
            <w:pPr>
              <w:pStyle w:val="ConsPlusNormal"/>
              <w:numPr>
                <w:ilvl w:val="0"/>
                <w:numId w:val="2"/>
              </w:numPr>
              <w:rPr>
                <w:color w:val="000000"/>
                <w:sz w:val="22"/>
                <w:szCs w:val="22"/>
              </w:rPr>
            </w:pPr>
            <w:r>
              <w:rPr>
                <w:color w:val="000000"/>
                <w:sz w:val="22"/>
                <w:szCs w:val="22"/>
              </w:rPr>
              <w:lastRenderedPageBreak/>
              <w:t>СОСТАВ ПРЕДМЕТА ЗАКУПКИ</w:t>
            </w:r>
          </w:p>
          <w:tbl>
            <w:tblPr>
              <w:tblW w:w="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2194"/>
            </w:tblGrid>
            <w:tr>
              <w:trPr>
                <w:trHeight w:val="488"/>
                <w:jc w:val="center"/>
              </w:trPr>
              <w:tc>
                <w:tcPr>
                  <w:tcW w:w="2484" w:type="dxa"/>
                  <w:vMerge w:val="restart"/>
                  <w:shd w:val="clear" w:color="auto" w:fill="auto"/>
                  <w:vAlign w:val="center"/>
                </w:tcPr>
                <w:p>
                  <w:pPr>
                    <w:pStyle w:val="ConsPlusNormal"/>
                    <w:rPr>
                      <w:rFonts w:eastAsia="Calibri"/>
                      <w:bCs/>
                      <w:color w:val="000000"/>
                      <w:sz w:val="22"/>
                      <w:szCs w:val="22"/>
                    </w:rPr>
                  </w:pPr>
                  <w:r>
                    <w:rPr>
                      <w:rFonts w:eastAsia="Calibri"/>
                      <w:bCs/>
                      <w:color w:val="000000"/>
                      <w:sz w:val="22"/>
                      <w:szCs w:val="22"/>
                    </w:rPr>
                    <w:t>Международное непатентованное наименование</w:t>
                  </w:r>
                </w:p>
              </w:tc>
              <w:tc>
                <w:tcPr>
                  <w:tcW w:w="2194" w:type="dxa"/>
                  <w:vMerge w:val="restart"/>
                  <w:shd w:val="clear" w:color="auto" w:fill="auto"/>
                  <w:vAlign w:val="center"/>
                </w:tcPr>
                <w:p>
                  <w:pPr>
                    <w:pStyle w:val="ConsPlusNormal"/>
                    <w:rPr>
                      <w:rFonts w:eastAsia="Calibri"/>
                      <w:bCs/>
                      <w:color w:val="000000"/>
                      <w:sz w:val="22"/>
                      <w:szCs w:val="22"/>
                    </w:rPr>
                  </w:pPr>
                  <w:r>
                    <w:rPr>
                      <w:rFonts w:eastAsia="Calibri"/>
                      <w:bCs/>
                      <w:color w:val="000000"/>
                      <w:sz w:val="22"/>
                      <w:szCs w:val="22"/>
                    </w:rPr>
                    <w:t>Форма выпуска</w:t>
                  </w:r>
                </w:p>
              </w:tc>
            </w:tr>
            <w:tr>
              <w:trPr>
                <w:trHeight w:val="488"/>
                <w:jc w:val="center"/>
              </w:trPr>
              <w:tc>
                <w:tcPr>
                  <w:tcW w:w="2484" w:type="dxa"/>
                  <w:vMerge/>
                  <w:shd w:val="clear" w:color="auto" w:fill="auto"/>
                  <w:vAlign w:val="center"/>
                </w:tcPr>
                <w:p>
                  <w:pPr>
                    <w:pStyle w:val="ConsPlusNormal"/>
                    <w:ind w:firstLine="567"/>
                    <w:jc w:val="both"/>
                    <w:rPr>
                      <w:rFonts w:eastAsia="Calibri"/>
                      <w:bCs/>
                      <w:color w:val="000000"/>
                      <w:sz w:val="22"/>
                      <w:szCs w:val="22"/>
                    </w:rPr>
                  </w:pPr>
                </w:p>
              </w:tc>
              <w:tc>
                <w:tcPr>
                  <w:tcW w:w="2194" w:type="dxa"/>
                  <w:vMerge/>
                  <w:shd w:val="clear" w:color="auto" w:fill="auto"/>
                  <w:vAlign w:val="center"/>
                </w:tcPr>
                <w:p>
                  <w:pPr>
                    <w:pStyle w:val="ConsPlusNormal"/>
                    <w:ind w:firstLine="567"/>
                    <w:jc w:val="both"/>
                    <w:rPr>
                      <w:rFonts w:eastAsia="Calibri"/>
                      <w:bCs/>
                      <w:color w:val="000000"/>
                      <w:sz w:val="22"/>
                      <w:szCs w:val="22"/>
                    </w:rPr>
                  </w:pPr>
                </w:p>
              </w:tc>
            </w:tr>
            <w:tr>
              <w:trPr>
                <w:trHeight w:val="488"/>
                <w:jc w:val="center"/>
              </w:trPr>
              <w:tc>
                <w:tcPr>
                  <w:tcW w:w="2484" w:type="dxa"/>
                  <w:vMerge/>
                  <w:shd w:val="clear" w:color="auto" w:fill="auto"/>
                  <w:vAlign w:val="center"/>
                </w:tcPr>
                <w:p>
                  <w:pPr>
                    <w:pStyle w:val="ConsPlusNormal"/>
                    <w:ind w:firstLine="567"/>
                    <w:jc w:val="both"/>
                    <w:rPr>
                      <w:rFonts w:eastAsia="Calibri"/>
                      <w:bCs/>
                      <w:color w:val="000000"/>
                      <w:sz w:val="22"/>
                      <w:szCs w:val="22"/>
                    </w:rPr>
                  </w:pPr>
                </w:p>
              </w:tc>
              <w:tc>
                <w:tcPr>
                  <w:tcW w:w="2194" w:type="dxa"/>
                  <w:vMerge/>
                  <w:shd w:val="clear" w:color="auto" w:fill="auto"/>
                  <w:vAlign w:val="center"/>
                </w:tcPr>
                <w:p>
                  <w:pPr>
                    <w:pStyle w:val="ConsPlusNormal"/>
                    <w:ind w:firstLine="567"/>
                    <w:jc w:val="both"/>
                    <w:rPr>
                      <w:rFonts w:eastAsia="Calibri"/>
                      <w:bCs/>
                      <w:color w:val="000000"/>
                      <w:sz w:val="22"/>
                      <w:szCs w:val="22"/>
                    </w:rPr>
                  </w:pPr>
                </w:p>
              </w:tc>
            </w:tr>
            <w:tr>
              <w:trPr>
                <w:jc w:val="center"/>
              </w:trPr>
              <w:tc>
                <w:tcPr>
                  <w:tcW w:w="2484" w:type="dxa"/>
                  <w:shd w:val="clear" w:color="auto" w:fill="auto"/>
                </w:tcPr>
                <w:p>
                  <w:pPr>
                    <w:pStyle w:val="ConsPlusNormal"/>
                    <w:rPr>
                      <w:rFonts w:eastAsia="Calibri"/>
                      <w:bCs/>
                      <w:color w:val="000000"/>
                      <w:sz w:val="22"/>
                      <w:szCs w:val="22"/>
                    </w:rPr>
                  </w:pPr>
                  <w:r>
                    <w:rPr>
                      <w:rFonts w:eastAsia="Calibri"/>
                      <w:bCs/>
                      <w:color w:val="000000"/>
                      <w:sz w:val="22"/>
                      <w:szCs w:val="22"/>
                    </w:rPr>
                    <w:t xml:space="preserve">Инсулин </w:t>
                  </w:r>
                  <w:proofErr w:type="spellStart"/>
                  <w:r>
                    <w:rPr>
                      <w:rFonts w:eastAsia="Calibri"/>
                      <w:bCs/>
                      <w:color w:val="000000"/>
                      <w:sz w:val="22"/>
                      <w:szCs w:val="22"/>
                    </w:rPr>
                    <w:t>детемир</w:t>
                  </w:r>
                  <w:proofErr w:type="spellEnd"/>
                </w:p>
              </w:tc>
              <w:tc>
                <w:tcPr>
                  <w:tcW w:w="2194" w:type="dxa"/>
                  <w:shd w:val="clear" w:color="auto" w:fill="auto"/>
                </w:tcPr>
                <w:p>
                  <w:pPr>
                    <w:pStyle w:val="ConsPlusNormal"/>
                    <w:rPr>
                      <w:rFonts w:eastAsia="Calibri"/>
                      <w:bCs/>
                      <w:color w:val="000000"/>
                      <w:sz w:val="22"/>
                      <w:szCs w:val="22"/>
                    </w:rPr>
                  </w:pPr>
                  <w:r>
                    <w:rPr>
                      <w:rFonts w:eastAsia="Calibri"/>
                      <w:bCs/>
                      <w:color w:val="000000"/>
                      <w:sz w:val="22"/>
                      <w:szCs w:val="22"/>
                    </w:rPr>
                    <w:t xml:space="preserve">раствор для инъекций 100 </w:t>
                  </w:r>
                  <w:proofErr w:type="spellStart"/>
                  <w:r>
                    <w:rPr>
                      <w:rFonts w:eastAsia="Calibri"/>
                      <w:bCs/>
                      <w:color w:val="000000"/>
                      <w:sz w:val="22"/>
                      <w:szCs w:val="22"/>
                    </w:rPr>
                    <w:t>Ед</w:t>
                  </w:r>
                  <w:proofErr w:type="spellEnd"/>
                  <w:r>
                    <w:rPr>
                      <w:rFonts w:eastAsia="Calibri"/>
                      <w:bCs/>
                      <w:color w:val="000000"/>
                      <w:sz w:val="22"/>
                      <w:szCs w:val="22"/>
                    </w:rPr>
                    <w:t>/мл 3 мл</w:t>
                  </w:r>
                </w:p>
              </w:tc>
            </w:tr>
          </w:tbl>
          <w:p>
            <w:pPr>
              <w:pStyle w:val="ConsPlusNormal"/>
              <w:ind w:firstLine="567"/>
              <w:rPr>
                <w:color w:val="000000"/>
                <w:sz w:val="22"/>
                <w:szCs w:val="22"/>
              </w:rPr>
            </w:pPr>
          </w:p>
          <w:p>
            <w:pPr>
              <w:pStyle w:val="ConsPlusNormal"/>
              <w:ind w:firstLine="567"/>
              <w:rPr>
                <w:color w:val="000000"/>
                <w:sz w:val="22"/>
                <w:szCs w:val="22"/>
              </w:rPr>
            </w:pPr>
            <w:r>
              <w:rPr>
                <w:color w:val="000000"/>
                <w:sz w:val="22"/>
                <w:szCs w:val="22"/>
              </w:rPr>
              <w:t>2. ТРЕБОВАНИЯ К ПРЕДМЕТУ ЗАКУПКИ.</w:t>
            </w:r>
          </w:p>
          <w:p>
            <w:pPr>
              <w:pStyle w:val="ConsPlusNormal"/>
              <w:ind w:firstLine="567"/>
              <w:jc w:val="both"/>
              <w:rPr>
                <w:bCs/>
                <w:color w:val="000000"/>
                <w:sz w:val="22"/>
                <w:szCs w:val="22"/>
              </w:rPr>
            </w:pPr>
            <w:r>
              <w:rPr>
                <w:color w:val="000000"/>
                <w:sz w:val="22"/>
                <w:szCs w:val="22"/>
              </w:rPr>
              <w:t xml:space="preserve">2.1. Аналог инсулина длительного действия </w:t>
            </w:r>
            <w:proofErr w:type="spellStart"/>
            <w:r>
              <w:rPr>
                <w:color w:val="000000"/>
                <w:sz w:val="22"/>
                <w:szCs w:val="22"/>
              </w:rPr>
              <w:t>Детемир</w:t>
            </w:r>
            <w:proofErr w:type="spellEnd"/>
            <w:r>
              <w:rPr>
                <w:color w:val="000000"/>
                <w:sz w:val="22"/>
                <w:szCs w:val="22"/>
              </w:rPr>
              <w:t xml:space="preserve">, раствор для инъекций 100Ед/мл, по 3,0 мл в картриджах (далее – инсулин </w:t>
            </w:r>
            <w:proofErr w:type="spellStart"/>
            <w:r>
              <w:rPr>
                <w:color w:val="000000"/>
                <w:sz w:val="22"/>
                <w:szCs w:val="22"/>
              </w:rPr>
              <w:t>Детемир</w:t>
            </w:r>
            <w:proofErr w:type="spellEnd"/>
            <w:r>
              <w:rPr>
                <w:color w:val="000000"/>
                <w:sz w:val="22"/>
                <w:szCs w:val="22"/>
              </w:rPr>
              <w:t>) применяется в Республике Беларусь для лечения пациентов с сахарным диабетом в соответствии с утвержденными в инструкции по медицинскому применению показаниями и нормативными документами, регламентирующими льготное обеспечение препаратами инсулина</w:t>
            </w:r>
            <w:r>
              <w:rPr>
                <w:bCs/>
                <w:color w:val="000000"/>
                <w:sz w:val="22"/>
                <w:szCs w:val="22"/>
              </w:rPr>
              <w:t>.</w:t>
            </w:r>
          </w:p>
          <w:p>
            <w:pPr>
              <w:pStyle w:val="ConsPlusNormal"/>
              <w:ind w:firstLine="567"/>
              <w:jc w:val="both"/>
              <w:rPr>
                <w:bCs/>
                <w:color w:val="000000"/>
                <w:sz w:val="22"/>
                <w:szCs w:val="22"/>
              </w:rPr>
            </w:pPr>
            <w:r>
              <w:rPr>
                <w:color w:val="000000"/>
                <w:sz w:val="22"/>
                <w:szCs w:val="22"/>
              </w:rPr>
              <w:t>2.2. </w:t>
            </w:r>
            <w:r>
              <w:rPr>
                <w:bCs/>
                <w:color w:val="000000"/>
                <w:sz w:val="22"/>
                <w:szCs w:val="22"/>
              </w:rPr>
              <w:t xml:space="preserve">Инсулин </w:t>
            </w:r>
            <w:proofErr w:type="spellStart"/>
            <w:r>
              <w:rPr>
                <w:bCs/>
                <w:color w:val="000000"/>
                <w:sz w:val="22"/>
                <w:szCs w:val="22"/>
              </w:rPr>
              <w:t>Детемир</w:t>
            </w:r>
            <w:proofErr w:type="spellEnd"/>
            <w:r>
              <w:rPr>
                <w:bCs/>
                <w:color w:val="000000"/>
                <w:sz w:val="22"/>
                <w:szCs w:val="22"/>
              </w:rPr>
              <w:t xml:space="preserve"> может быть поставлен в следующей зарегистрированной в Республике Беларусь в форме выпуска:</w:t>
            </w:r>
          </w:p>
          <w:p>
            <w:pPr>
              <w:pStyle w:val="ConsPlusNormal"/>
              <w:ind w:firstLine="567"/>
              <w:jc w:val="both"/>
              <w:rPr>
                <w:bCs/>
                <w:color w:val="000000"/>
                <w:sz w:val="22"/>
                <w:szCs w:val="22"/>
              </w:rPr>
            </w:pPr>
            <w:r>
              <w:rPr>
                <w:bCs/>
                <w:color w:val="000000"/>
                <w:sz w:val="22"/>
                <w:szCs w:val="22"/>
              </w:rPr>
              <w:t xml:space="preserve">раствор для подкожного введения 100 ЕД/мл в картриджах 3 мл в </w:t>
            </w:r>
            <w:proofErr w:type="spellStart"/>
            <w:r>
              <w:rPr>
                <w:bCs/>
                <w:color w:val="000000"/>
                <w:sz w:val="22"/>
                <w:szCs w:val="22"/>
              </w:rPr>
              <w:t>преднаполненных</w:t>
            </w:r>
            <w:proofErr w:type="spellEnd"/>
            <w:r>
              <w:rPr>
                <w:bCs/>
                <w:color w:val="000000"/>
                <w:sz w:val="22"/>
                <w:szCs w:val="22"/>
              </w:rPr>
              <w:t xml:space="preserve"> шприц-ручках в упаковке № 5.</w:t>
            </w:r>
          </w:p>
          <w:p>
            <w:pPr>
              <w:pStyle w:val="ConsPlusNormal"/>
              <w:ind w:firstLine="567"/>
              <w:jc w:val="both"/>
              <w:rPr>
                <w:color w:val="000000"/>
                <w:sz w:val="22"/>
                <w:szCs w:val="22"/>
              </w:rPr>
            </w:pPr>
            <w:r>
              <w:rPr>
                <w:bCs/>
                <w:color w:val="000000"/>
                <w:sz w:val="22"/>
                <w:szCs w:val="22"/>
              </w:rPr>
              <w:t>2.3.</w:t>
            </w:r>
            <w:r>
              <w:rPr>
                <w:color w:val="000000"/>
                <w:sz w:val="22"/>
                <w:szCs w:val="22"/>
              </w:rPr>
              <w:t xml:space="preserve"> Учитывая то, что инсулин в картридже, шприц-ручка (в </w:t>
            </w:r>
            <w:proofErr w:type="spellStart"/>
            <w:r>
              <w:rPr>
                <w:color w:val="000000"/>
                <w:sz w:val="22"/>
                <w:szCs w:val="22"/>
              </w:rPr>
              <w:t>т.ч</w:t>
            </w:r>
            <w:proofErr w:type="spellEnd"/>
            <w:r>
              <w:rPr>
                <w:color w:val="000000"/>
                <w:sz w:val="22"/>
                <w:szCs w:val="22"/>
              </w:rPr>
              <w:t xml:space="preserve">. </w:t>
            </w:r>
            <w:proofErr w:type="spellStart"/>
            <w:r>
              <w:rPr>
                <w:color w:val="000000"/>
                <w:sz w:val="22"/>
                <w:szCs w:val="22"/>
              </w:rPr>
              <w:t>преднаполненная</w:t>
            </w:r>
            <w:proofErr w:type="spellEnd"/>
            <w:r>
              <w:rPr>
                <w:color w:val="000000"/>
                <w:sz w:val="22"/>
                <w:szCs w:val="22"/>
              </w:rPr>
              <w:t xml:space="preserve"> шприц-ручка) и игла для введения инсулина является связанным продуктом, поставка инсулина </w:t>
            </w:r>
            <w:proofErr w:type="spellStart"/>
            <w:r>
              <w:rPr>
                <w:color w:val="000000"/>
                <w:sz w:val="22"/>
                <w:szCs w:val="22"/>
              </w:rPr>
              <w:t>Детемир</w:t>
            </w:r>
            <w:proofErr w:type="spellEnd"/>
            <w:r>
              <w:rPr>
                <w:color w:val="000000"/>
                <w:sz w:val="22"/>
                <w:szCs w:val="22"/>
              </w:rPr>
              <w:t xml:space="preserve"> должна включать 27 060 упаковок №100 игл к шприц-ручкам, в том числе 32G (0,23х4мм) – 2 801 упаковка, 31G (0,25х6мм) – 13 530 упаковок, 30G (0,30х8мм) – 10 729 упаковок.</w:t>
            </w:r>
          </w:p>
          <w:p>
            <w:pPr>
              <w:pStyle w:val="ConsPlusNormal"/>
              <w:ind w:firstLine="567"/>
              <w:jc w:val="both"/>
              <w:rPr>
                <w:color w:val="000000"/>
                <w:sz w:val="22"/>
                <w:szCs w:val="22"/>
              </w:rPr>
            </w:pPr>
            <w:r>
              <w:rPr>
                <w:color w:val="000000"/>
                <w:sz w:val="22"/>
                <w:szCs w:val="22"/>
              </w:rPr>
              <w:t xml:space="preserve">2.4. Поставка средств введения инсулина должна производиться одновременно с поставкой инсулина на безвозмездной основе через ГУ «Республиканский центр организации медицинского реагирования». Допускается поставка средств введения не одновременно с поставкой инсулина при согласовании с Заказчиком. </w:t>
            </w:r>
          </w:p>
          <w:p>
            <w:pPr>
              <w:pStyle w:val="ConsPlusNormal"/>
              <w:ind w:firstLine="567"/>
              <w:jc w:val="both"/>
              <w:rPr>
                <w:color w:val="000000"/>
                <w:sz w:val="22"/>
                <w:szCs w:val="22"/>
              </w:rPr>
            </w:pPr>
            <w:r>
              <w:rPr>
                <w:color w:val="000000"/>
                <w:sz w:val="22"/>
                <w:szCs w:val="22"/>
              </w:rPr>
              <w:t>2.5. К закупке допускаются зарегистрированные и незарегистрированные в Республике Беларусь лекарственные средства.</w:t>
            </w:r>
          </w:p>
          <w:p>
            <w:pPr>
              <w:pStyle w:val="ConsPlusNormal"/>
              <w:ind w:firstLine="567"/>
              <w:jc w:val="both"/>
              <w:rPr>
                <w:color w:val="000000"/>
                <w:sz w:val="22"/>
                <w:szCs w:val="22"/>
              </w:rPr>
            </w:pPr>
            <w:r>
              <w:rPr>
                <w:color w:val="000000"/>
                <w:sz w:val="22"/>
                <w:szCs w:val="22"/>
              </w:rPr>
              <w:t>3. КЛИНИЧЕСКОЕ ОБОСНОВАНИЕ ЗАКУПКИ</w:t>
            </w:r>
          </w:p>
          <w:p>
            <w:pPr>
              <w:pStyle w:val="ConsPlusNormal"/>
              <w:ind w:firstLine="567"/>
              <w:jc w:val="both"/>
              <w:rPr>
                <w:color w:val="000000"/>
                <w:sz w:val="22"/>
                <w:szCs w:val="22"/>
              </w:rPr>
            </w:pPr>
            <w:r>
              <w:rPr>
                <w:color w:val="000000"/>
                <w:sz w:val="22"/>
                <w:szCs w:val="22"/>
              </w:rPr>
              <w:t xml:space="preserve">3.1. Обеспечение лечения инсулином </w:t>
            </w:r>
            <w:proofErr w:type="spellStart"/>
            <w:r>
              <w:rPr>
                <w:color w:val="000000"/>
                <w:sz w:val="22"/>
                <w:szCs w:val="22"/>
              </w:rPr>
              <w:t>Детемир</w:t>
            </w:r>
            <w:proofErr w:type="spellEnd"/>
            <w:r>
              <w:rPr>
                <w:color w:val="000000"/>
                <w:sz w:val="22"/>
                <w:szCs w:val="22"/>
              </w:rPr>
              <w:t xml:space="preserve"> на бесплатной основе осуществляется в соответствии с приказом Министерством здравоохранения Республики Беларусь от 10.04.2020 №417 «Об обеспечении пациентов с сахарным диабетом лекарственными средствами инсулина», приказом Министерства здравоохранения Республики Беларусь от 08.02.2024 г. № 184 «Об изменении приказа Министерства здравоохранения Республики Беларусь от 10 апреля 2020 г. № 417».</w:t>
            </w:r>
          </w:p>
          <w:p>
            <w:pPr>
              <w:pStyle w:val="ConsPlusNormal"/>
              <w:ind w:firstLine="567"/>
              <w:jc w:val="both"/>
              <w:rPr>
                <w:color w:val="000000"/>
                <w:sz w:val="22"/>
                <w:szCs w:val="22"/>
              </w:rPr>
            </w:pPr>
            <w:r>
              <w:rPr>
                <w:color w:val="000000"/>
                <w:sz w:val="22"/>
                <w:szCs w:val="22"/>
              </w:rPr>
              <w:t>Обеспечиваются следующие категории пациентов с сахарным диабетом:</w:t>
            </w:r>
          </w:p>
          <w:p>
            <w:pPr>
              <w:pStyle w:val="ConsPlusNormal"/>
              <w:ind w:firstLine="567"/>
              <w:jc w:val="both"/>
              <w:rPr>
                <w:color w:val="000000"/>
                <w:sz w:val="22"/>
                <w:szCs w:val="22"/>
              </w:rPr>
            </w:pPr>
            <w:r>
              <w:rPr>
                <w:color w:val="000000"/>
                <w:sz w:val="22"/>
                <w:szCs w:val="22"/>
              </w:rPr>
              <w:t>дети с сахарным диабетом (до 18 лет);</w:t>
            </w:r>
          </w:p>
          <w:p>
            <w:pPr>
              <w:pStyle w:val="ConsPlusNormal"/>
              <w:ind w:firstLine="567"/>
              <w:jc w:val="both"/>
              <w:rPr>
                <w:color w:val="000000"/>
                <w:sz w:val="22"/>
                <w:szCs w:val="22"/>
              </w:rPr>
            </w:pPr>
            <w:r>
              <w:rPr>
                <w:color w:val="000000"/>
                <w:sz w:val="22"/>
                <w:szCs w:val="22"/>
              </w:rPr>
              <w:t>учащиеся высших и средних учебных заведений;</w:t>
            </w:r>
          </w:p>
          <w:p>
            <w:pPr>
              <w:pStyle w:val="ConsPlusNormal"/>
              <w:ind w:firstLine="567"/>
              <w:jc w:val="both"/>
              <w:rPr>
                <w:color w:val="000000"/>
                <w:sz w:val="22"/>
                <w:szCs w:val="22"/>
              </w:rPr>
            </w:pPr>
            <w:r>
              <w:rPr>
                <w:color w:val="000000"/>
                <w:sz w:val="22"/>
                <w:szCs w:val="22"/>
              </w:rPr>
              <w:t>пациенты, получавшие аналоги инсулина в возрасте до 18 лет;</w:t>
            </w:r>
          </w:p>
          <w:p>
            <w:pPr>
              <w:pStyle w:val="ConsPlusNormal"/>
              <w:ind w:firstLine="567"/>
              <w:jc w:val="both"/>
              <w:rPr>
                <w:color w:val="000000"/>
                <w:sz w:val="22"/>
                <w:szCs w:val="22"/>
              </w:rPr>
            </w:pPr>
            <w:r>
              <w:rPr>
                <w:color w:val="000000"/>
                <w:sz w:val="22"/>
                <w:szCs w:val="22"/>
              </w:rPr>
              <w:t>пациенты с СД 1 типа;</w:t>
            </w:r>
          </w:p>
          <w:p>
            <w:pPr>
              <w:pStyle w:val="ConsPlusNormal"/>
              <w:ind w:firstLine="567"/>
              <w:jc w:val="both"/>
              <w:rPr>
                <w:color w:val="000000"/>
                <w:sz w:val="22"/>
                <w:szCs w:val="22"/>
              </w:rPr>
            </w:pPr>
            <w:r>
              <w:rPr>
                <w:color w:val="000000"/>
                <w:sz w:val="22"/>
                <w:szCs w:val="22"/>
              </w:rPr>
              <w:t>пациенты с СД и тяжелой сопутствующей патологией:</w:t>
            </w:r>
          </w:p>
          <w:p>
            <w:pPr>
              <w:pStyle w:val="ConsPlusNormal"/>
              <w:ind w:firstLine="567"/>
              <w:jc w:val="both"/>
              <w:rPr>
                <w:color w:val="000000"/>
                <w:sz w:val="22"/>
                <w:szCs w:val="22"/>
              </w:rPr>
            </w:pPr>
            <w:r>
              <w:rPr>
                <w:color w:val="000000"/>
                <w:sz w:val="22"/>
                <w:szCs w:val="22"/>
              </w:rPr>
              <w:t>перенесшие инфаркт миокарда, или острое нарушение мозгового кровообращения, или после интервенционных хирургических вмешательств на сердце и сосудах, и получающих базис-</w:t>
            </w:r>
            <w:proofErr w:type="spellStart"/>
            <w:r>
              <w:rPr>
                <w:color w:val="000000"/>
                <w:sz w:val="22"/>
                <w:szCs w:val="22"/>
              </w:rPr>
              <w:t>болюсную</w:t>
            </w:r>
            <w:proofErr w:type="spellEnd"/>
            <w:r>
              <w:rPr>
                <w:color w:val="000000"/>
                <w:sz w:val="22"/>
                <w:szCs w:val="22"/>
              </w:rPr>
              <w:t xml:space="preserve"> инсулинотерапию;</w:t>
            </w:r>
          </w:p>
          <w:p>
            <w:pPr>
              <w:pStyle w:val="ConsPlusNormal"/>
              <w:ind w:firstLine="567"/>
              <w:jc w:val="both"/>
              <w:rPr>
                <w:color w:val="000000"/>
                <w:sz w:val="22"/>
                <w:szCs w:val="22"/>
              </w:rPr>
            </w:pPr>
            <w:r>
              <w:rPr>
                <w:color w:val="000000"/>
                <w:sz w:val="22"/>
                <w:szCs w:val="22"/>
              </w:rPr>
              <w:lastRenderedPageBreak/>
              <w:t xml:space="preserve">имеющие злокачественное новообразование, значимо ухудшающие общее состояние (оценка 2, 3, 4 по шкале ECOG или ≤50 % по шкале </w:t>
            </w:r>
            <w:proofErr w:type="spellStart"/>
            <w:r>
              <w:rPr>
                <w:color w:val="000000"/>
                <w:sz w:val="22"/>
                <w:szCs w:val="22"/>
              </w:rPr>
              <w:t>Карновского</w:t>
            </w:r>
            <w:proofErr w:type="spellEnd"/>
            <w:r>
              <w:rPr>
                <w:color w:val="000000"/>
                <w:sz w:val="22"/>
                <w:szCs w:val="22"/>
              </w:rPr>
              <w:t>);</w:t>
            </w:r>
          </w:p>
          <w:p>
            <w:pPr>
              <w:pStyle w:val="ConsPlusNormal"/>
              <w:ind w:firstLine="567"/>
              <w:jc w:val="both"/>
              <w:rPr>
                <w:color w:val="000000"/>
                <w:sz w:val="22"/>
                <w:szCs w:val="22"/>
              </w:rPr>
            </w:pPr>
            <w:r>
              <w:rPr>
                <w:color w:val="000000"/>
                <w:sz w:val="22"/>
                <w:szCs w:val="22"/>
              </w:rPr>
              <w:t>после трансплантации органов.</w:t>
            </w:r>
          </w:p>
          <w:p>
            <w:pPr>
              <w:pStyle w:val="ConsPlusNormal"/>
              <w:ind w:firstLine="567"/>
              <w:jc w:val="both"/>
              <w:rPr>
                <w:color w:val="000000"/>
                <w:sz w:val="22"/>
                <w:szCs w:val="22"/>
              </w:rPr>
            </w:pPr>
            <w:r>
              <w:rPr>
                <w:color w:val="000000"/>
                <w:sz w:val="22"/>
                <w:szCs w:val="22"/>
              </w:rPr>
              <w:t xml:space="preserve">3.2 Расчеты потребности в инсулине </w:t>
            </w:r>
            <w:proofErr w:type="spellStart"/>
            <w:r>
              <w:rPr>
                <w:color w:val="000000"/>
                <w:sz w:val="22"/>
                <w:szCs w:val="22"/>
              </w:rPr>
              <w:t>Детемир</w:t>
            </w:r>
            <w:proofErr w:type="spellEnd"/>
            <w:r>
              <w:rPr>
                <w:color w:val="000000"/>
                <w:sz w:val="22"/>
                <w:szCs w:val="22"/>
              </w:rPr>
              <w:t xml:space="preserve">, закупаемого за счет средств республиканского бюджета, произведены на основании заявок на закупку данного лекарственного средства, предоставленных комитетом по здравоохранению </w:t>
            </w:r>
            <w:proofErr w:type="spellStart"/>
            <w:r>
              <w:rPr>
                <w:color w:val="000000"/>
                <w:sz w:val="22"/>
                <w:szCs w:val="22"/>
              </w:rPr>
              <w:t>Мингорисполкома</w:t>
            </w:r>
            <w:proofErr w:type="spellEnd"/>
            <w:r>
              <w:rPr>
                <w:color w:val="000000"/>
                <w:sz w:val="22"/>
                <w:szCs w:val="22"/>
              </w:rPr>
              <w:t xml:space="preserve">, управлениями здравоохранения облисполкомов. </w:t>
            </w:r>
          </w:p>
          <w:p>
            <w:pPr>
              <w:pStyle w:val="ConsPlusNormal"/>
              <w:ind w:firstLine="567"/>
              <w:jc w:val="both"/>
              <w:rPr>
                <w:color w:val="000000"/>
                <w:sz w:val="22"/>
                <w:szCs w:val="22"/>
              </w:rPr>
            </w:pPr>
            <w:r>
              <w:rPr>
                <w:color w:val="000000"/>
                <w:sz w:val="22"/>
                <w:szCs w:val="22"/>
              </w:rPr>
              <w:t xml:space="preserve">Заявка сформирована на основании списков учета пациентов, получающих по медицинским показаниям инсулин </w:t>
            </w:r>
            <w:proofErr w:type="spellStart"/>
            <w:r>
              <w:rPr>
                <w:color w:val="000000"/>
                <w:sz w:val="22"/>
                <w:szCs w:val="22"/>
              </w:rPr>
              <w:t>Детемир</w:t>
            </w:r>
            <w:proofErr w:type="spellEnd"/>
            <w:r>
              <w:rPr>
                <w:color w:val="000000"/>
                <w:sz w:val="22"/>
                <w:szCs w:val="22"/>
              </w:rPr>
              <w:t xml:space="preserve">, прогнозируемом количестве пациентов с сахарным диабетом 1 типа, которые должны быть переведены на использование аналога инсулина </w:t>
            </w:r>
            <w:proofErr w:type="spellStart"/>
            <w:r>
              <w:rPr>
                <w:color w:val="000000"/>
                <w:sz w:val="22"/>
                <w:szCs w:val="22"/>
              </w:rPr>
              <w:t>Детемир</w:t>
            </w:r>
            <w:proofErr w:type="spellEnd"/>
            <w:r>
              <w:rPr>
                <w:color w:val="000000"/>
                <w:sz w:val="22"/>
                <w:szCs w:val="22"/>
              </w:rPr>
              <w:t xml:space="preserve">, с учетом фактических остатков инсулина </w:t>
            </w:r>
            <w:proofErr w:type="spellStart"/>
            <w:r>
              <w:rPr>
                <w:color w:val="000000"/>
                <w:sz w:val="22"/>
                <w:szCs w:val="22"/>
              </w:rPr>
              <w:t>Детемир</w:t>
            </w:r>
            <w:proofErr w:type="spellEnd"/>
            <w:r>
              <w:rPr>
                <w:color w:val="000000"/>
                <w:sz w:val="22"/>
                <w:szCs w:val="22"/>
              </w:rPr>
              <w:t xml:space="preserve"> на 03.08.2026 и их сроков годности, поступления в 2025 году, анализа расхода за 2025 год.</w:t>
            </w:r>
          </w:p>
          <w:p>
            <w:pPr>
              <w:pStyle w:val="ConsPlusNormal"/>
              <w:jc w:val="both"/>
              <w:rPr>
                <w:color w:val="000000"/>
                <w:sz w:val="22"/>
                <w:szCs w:val="22"/>
              </w:rPr>
            </w:pPr>
            <w:r>
              <w:rPr>
                <w:color w:val="000000"/>
                <w:sz w:val="22"/>
                <w:szCs w:val="22"/>
              </w:rPr>
              <w:t>4. УСЛОВИЯ ПРОВЕДЕНИЯ ЗАКУПКИ</w:t>
            </w:r>
          </w:p>
          <w:p>
            <w:pPr>
              <w:pStyle w:val="ConsPlusNormal"/>
              <w:jc w:val="both"/>
              <w:rPr>
                <w:color w:val="000000"/>
                <w:sz w:val="22"/>
                <w:szCs w:val="22"/>
              </w:rPr>
            </w:pPr>
            <w:r>
              <w:rPr>
                <w:color w:val="000000"/>
                <w:sz w:val="22"/>
                <w:szCs w:val="22"/>
              </w:rPr>
              <w:t xml:space="preserve">4.1. Для присуждения контрактов на закупку лекарственного средства будут использоваться следующие критерии: </w:t>
            </w:r>
          </w:p>
          <w:p>
            <w:pPr>
              <w:pStyle w:val="ConsPlusNormal"/>
              <w:jc w:val="both"/>
              <w:rPr>
                <w:color w:val="000000"/>
                <w:sz w:val="22"/>
                <w:szCs w:val="22"/>
              </w:rPr>
            </w:pPr>
            <w:r>
              <w:rPr>
                <w:color w:val="000000"/>
                <w:sz w:val="22"/>
                <w:szCs w:val="22"/>
              </w:rPr>
              <w:t>4.1.1 соответствие предложений требованиям технического задания;</w:t>
            </w:r>
          </w:p>
          <w:p>
            <w:pPr>
              <w:pStyle w:val="ConsPlusNormal"/>
              <w:jc w:val="both"/>
              <w:rPr>
                <w:color w:val="000000"/>
                <w:sz w:val="22"/>
                <w:szCs w:val="22"/>
              </w:rPr>
            </w:pPr>
            <w:r>
              <w:rPr>
                <w:color w:val="000000"/>
                <w:sz w:val="22"/>
                <w:szCs w:val="22"/>
              </w:rPr>
              <w:t>4.1.2 наименьшая стоимость за единицу;</w:t>
            </w:r>
          </w:p>
          <w:p>
            <w:pPr>
              <w:pStyle w:val="ConsPlusNormal"/>
              <w:jc w:val="both"/>
              <w:rPr>
                <w:color w:val="000000"/>
                <w:sz w:val="22"/>
                <w:szCs w:val="22"/>
              </w:rPr>
            </w:pPr>
            <w:r>
              <w:rPr>
                <w:color w:val="000000"/>
                <w:sz w:val="22"/>
                <w:szCs w:val="22"/>
              </w:rPr>
              <w:t>4.1.3 сроки годности в каждой поставляемой партии:</w:t>
            </w:r>
          </w:p>
          <w:p>
            <w:pPr>
              <w:pStyle w:val="ConsPlusNormal"/>
              <w:jc w:val="both"/>
              <w:rPr>
                <w:color w:val="000000"/>
                <w:sz w:val="22"/>
                <w:szCs w:val="22"/>
              </w:rPr>
            </w:pPr>
            <w:r>
              <w:rPr>
                <w:color w:val="000000"/>
                <w:sz w:val="22"/>
                <w:szCs w:val="22"/>
              </w:rPr>
              <w:t>не менее 50 % от установленного производителем на дату поставки, при основном сроке годности более двух лет;</w:t>
            </w:r>
          </w:p>
          <w:p>
            <w:pPr>
              <w:spacing w:after="0" w:line="240" w:lineRule="auto"/>
              <w:rPr>
                <w:rFonts w:ascii="Times New Roman" w:eastAsia="Times New Roman" w:hAnsi="Times New Roman" w:cs="Times New Roman"/>
                <w:b/>
                <w:lang w:eastAsia="ru-RU"/>
              </w:rPr>
            </w:pPr>
            <w:r>
              <w:rPr>
                <w:rFonts w:ascii="Times New Roman" w:hAnsi="Times New Roman" w:cs="Times New Roman"/>
                <w:color w:val="000000"/>
              </w:rPr>
              <w:t>не менее 70% от установленного производителем на дату поставки, при основном сроке годности два года и менее.</w:t>
            </w:r>
          </w:p>
        </w:tc>
      </w:tr>
      <w:tr>
        <w:tc>
          <w:tcPr>
            <w:tcW w:w="3134" w:type="dxa"/>
            <w:tcBorders>
              <w:top w:val="nil"/>
              <w:left w:val="single" w:sz="6" w:space="0" w:color="auto"/>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Требования к содержанию ответов на заявку</w:t>
            </w:r>
          </w:p>
        </w:tc>
        <w:tc>
          <w:tcPr>
            <w:tcW w:w="6639" w:type="dxa"/>
            <w:tcBorders>
              <w:top w:val="nil"/>
              <w:left w:val="nil"/>
              <w:bottom w:val="single" w:sz="6" w:space="0" w:color="auto"/>
              <w:right w:val="single" w:sz="6" w:space="0" w:color="auto"/>
            </w:tcBorders>
          </w:tcPr>
          <w:p>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Ответ на заявку должен содержать следующие документы:</w:t>
            </w:r>
          </w:p>
          <w:p>
            <w:pPr>
              <w:spacing w:after="0" w:line="240" w:lineRule="auto"/>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*в случае предложения к поставке зарегистрированного ЛП:</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заполненную спецификацию по установленной форме,</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копию регистрационного удостоверения предлагаемого к закупке лекарственного средства,</w:t>
            </w:r>
            <w:r>
              <w:t xml:space="preserve"> </w:t>
            </w:r>
            <w:r>
              <w:rPr>
                <w:rFonts w:ascii="Times New Roman" w:eastAsia="Times New Roman" w:hAnsi="Times New Roman" w:cs="Times New Roman"/>
                <w:lang w:eastAsia="ru-RU"/>
              </w:rPr>
              <w:t>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развернутое описание характеристик лекарственного средства (инструкцию по медицинскому применению),</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иные документы и (или) сведения согласно заявки на покупку.</w:t>
            </w:r>
          </w:p>
          <w:p>
            <w:pPr>
              <w:spacing w:after="0" w:line="240" w:lineRule="auto"/>
              <w:rPr>
                <w:rFonts w:ascii="Times New Roman" w:eastAsia="Times New Roman" w:hAnsi="Times New Roman" w:cs="Times New Roman"/>
                <w:lang w:eastAsia="ru-RU"/>
              </w:rPr>
            </w:pPr>
          </w:p>
          <w:p>
            <w:pPr>
              <w:spacing w:after="0" w:line="240" w:lineRule="auto"/>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*в случае предложения к поставке незарегистрированного ЛП:</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Pr>
                <w:rFonts w:ascii="Times New Roman" w:eastAsia="Times New Roman" w:hAnsi="Times New Roman" w:cs="Times New Roman"/>
                <w:lang w:eastAsia="ru-RU"/>
              </w:rPr>
              <w:t>free</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sale</w:t>
            </w:r>
            <w:proofErr w:type="spellEnd"/>
            <w:r>
              <w:rPr>
                <w:rFonts w:ascii="Times New Roman" w:eastAsia="Times New Roman" w:hAnsi="Times New Roman" w:cs="Times New Roman"/>
                <w:lang w:eastAsia="ru-RU"/>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w:t>
            </w:r>
            <w:r>
              <w:rPr>
                <w:rFonts w:ascii="Times New Roman" w:eastAsia="Times New Roman" w:hAnsi="Times New Roman" w:cs="Times New Roman"/>
                <w:lang w:eastAsia="ru-RU"/>
              </w:rPr>
              <w:lastRenderedPageBreak/>
              <w:t xml:space="preserve">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Pr>
                <w:rFonts w:ascii="Times New Roman" w:eastAsia="Times New Roman" w:hAnsi="Times New Roman" w:cs="Times New Roman"/>
                <w:lang w:eastAsia="ru-RU"/>
              </w:rPr>
              <w:t>summary</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of</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product</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characteristics</w:t>
            </w:r>
            <w:proofErr w:type="spellEnd"/>
            <w:r>
              <w:rPr>
                <w:rFonts w:ascii="Times New Roman" w:eastAsia="Times New Roman" w:hAnsi="Times New Roman" w:cs="Times New Roman"/>
                <w:lang w:eastAsia="ru-RU"/>
              </w:rPr>
              <w:t xml:space="preserve"> – общая характеристика лекарственного препарата (далее – </w:t>
            </w:r>
            <w:proofErr w:type="spellStart"/>
            <w:r>
              <w:rPr>
                <w:rFonts w:ascii="Times New Roman" w:eastAsia="Times New Roman" w:hAnsi="Times New Roman" w:cs="Times New Roman"/>
                <w:lang w:eastAsia="ru-RU"/>
              </w:rPr>
              <w:t>SmPC</w:t>
            </w:r>
            <w:proofErr w:type="spellEnd"/>
            <w:r>
              <w:rPr>
                <w:rFonts w:ascii="Times New Roman" w:eastAsia="Times New Roman" w:hAnsi="Times New Roman" w:cs="Times New Roman"/>
                <w:lang w:eastAsia="ru-RU"/>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Pr>
                <w:rFonts w:ascii="Times New Roman" w:eastAsia="Times New Roman" w:hAnsi="Times New Roman" w:cs="Times New Roman"/>
                <w:lang w:eastAsia="ru-RU"/>
              </w:rPr>
              <w:t>European</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Medicines</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Agency</w:t>
            </w:r>
            <w:proofErr w:type="spellEnd"/>
            <w:r>
              <w:rPr>
                <w:rFonts w:ascii="Times New Roman" w:eastAsia="Times New Roman" w:hAnsi="Times New Roman" w:cs="Times New Roman"/>
                <w:lang w:eastAsia="ru-RU"/>
              </w:rPr>
              <w:t xml:space="preserve"> (далее – EMA)) по результатам централизованной процедуры регистрации – </w:t>
            </w:r>
            <w:proofErr w:type="spellStart"/>
            <w:r>
              <w:rPr>
                <w:rFonts w:ascii="Times New Roman" w:eastAsia="Times New Roman" w:hAnsi="Times New Roman" w:cs="Times New Roman"/>
                <w:lang w:eastAsia="ru-RU"/>
              </w:rPr>
              <w:t>Certificate</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of</w:t>
            </w:r>
            <w:proofErr w:type="spellEnd"/>
            <w:r>
              <w:rPr>
                <w:rFonts w:ascii="Times New Roman" w:eastAsia="Times New Roman" w:hAnsi="Times New Roman" w:cs="Times New Roman"/>
                <w:lang w:eastAsia="ru-RU"/>
              </w:rPr>
              <w:t xml:space="preserve"> a </w:t>
            </w:r>
            <w:proofErr w:type="spellStart"/>
            <w:r>
              <w:rPr>
                <w:rFonts w:ascii="Times New Roman" w:eastAsia="Times New Roman" w:hAnsi="Times New Roman" w:cs="Times New Roman"/>
                <w:lang w:eastAsia="ru-RU"/>
              </w:rPr>
              <w:t>Medicinal</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Product</w:t>
            </w:r>
            <w:proofErr w:type="spellEnd"/>
            <w:r>
              <w:rPr>
                <w:rFonts w:ascii="Times New Roman" w:eastAsia="Times New Roman" w:hAnsi="Times New Roman" w:cs="Times New Roman"/>
                <w:lang w:eastAsia="ru-RU"/>
              </w:rPr>
              <w:t xml:space="preserve">, а также </w:t>
            </w:r>
            <w:proofErr w:type="spellStart"/>
            <w:r>
              <w:rPr>
                <w:rFonts w:ascii="Times New Roman" w:eastAsia="Times New Roman" w:hAnsi="Times New Roman" w:cs="Times New Roman"/>
                <w:lang w:eastAsia="ru-RU"/>
              </w:rPr>
              <w:t>SmPC</w:t>
            </w:r>
            <w:proofErr w:type="spellEnd"/>
            <w:r>
              <w:rPr>
                <w:rFonts w:ascii="Times New Roman" w:eastAsia="Times New Roman" w:hAnsi="Times New Roman" w:cs="Times New Roman"/>
                <w:lang w:eastAsia="ru-RU"/>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Pr>
                <w:rFonts w:ascii="Times New Roman" w:eastAsia="Times New Roman" w:hAnsi="Times New Roman" w:cs="Times New Roman"/>
                <w:lang w:eastAsia="ru-RU"/>
              </w:rPr>
              <w:t>преквалифицирован</w:t>
            </w:r>
            <w:proofErr w:type="spellEnd"/>
            <w:r>
              <w:rPr>
                <w:rFonts w:ascii="Times New Roman" w:eastAsia="Times New Roman" w:hAnsi="Times New Roman" w:cs="Times New Roman"/>
                <w:lang w:eastAsia="ru-RU"/>
              </w:rPr>
              <w:t xml:space="preserve"> ВОЗ (включен в перечень WHO </w:t>
            </w:r>
            <w:proofErr w:type="spellStart"/>
            <w:r>
              <w:rPr>
                <w:rFonts w:ascii="Times New Roman" w:eastAsia="Times New Roman" w:hAnsi="Times New Roman" w:cs="Times New Roman"/>
                <w:lang w:eastAsia="ru-RU"/>
              </w:rPr>
              <w:t>List</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of</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Prequalified</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Medicinal</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Products</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eastAsia="ru-RU"/>
              </w:rPr>
              <w:t>Vaccines</w:t>
            </w:r>
            <w:proofErr w:type="spellEnd"/>
            <w:r>
              <w:rPr>
                <w:rFonts w:ascii="Times New Roman" w:eastAsia="Times New Roman" w:hAnsi="Times New Roman" w:cs="Times New Roman"/>
                <w:lang w:eastAsia="ru-RU"/>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Pr>
                <w:rFonts w:ascii="Times New Roman" w:eastAsia="Times New Roman" w:hAnsi="Times New Roman" w:cs="Times New Roman"/>
                <w:lang w:eastAsia="ru-RU"/>
              </w:rPr>
              <w:t>преквалифицированных</w:t>
            </w:r>
            <w:proofErr w:type="spellEnd"/>
            <w:r>
              <w:rPr>
                <w:rFonts w:ascii="Times New Roman" w:eastAsia="Times New Roman" w:hAnsi="Times New Roman" w:cs="Times New Roman"/>
                <w:lang w:eastAsia="ru-RU"/>
              </w:rPr>
              <w:t xml:space="preserve"> ВОЗ, от 16 мая 2018 г., а также </w:t>
            </w:r>
            <w:proofErr w:type="spellStart"/>
            <w:r>
              <w:rPr>
                <w:rFonts w:ascii="Times New Roman" w:eastAsia="Times New Roman" w:hAnsi="Times New Roman" w:cs="Times New Roman"/>
                <w:lang w:eastAsia="ru-RU"/>
              </w:rPr>
              <w:t>SmPC</w:t>
            </w:r>
            <w:proofErr w:type="spellEnd"/>
            <w:r>
              <w:rPr>
                <w:rFonts w:ascii="Times New Roman" w:eastAsia="Times New Roman" w:hAnsi="Times New Roman" w:cs="Times New Roman"/>
                <w:lang w:eastAsia="ru-RU"/>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 документ о регистрации лекарственного препарата </w:t>
            </w:r>
            <w:proofErr w:type="gramStart"/>
            <w:r>
              <w:rPr>
                <w:rFonts w:ascii="Times New Roman" w:eastAsia="Times New Roman" w:hAnsi="Times New Roman" w:cs="Times New Roman"/>
                <w:lang w:eastAsia="ru-RU"/>
              </w:rPr>
              <w:t>в  государствах</w:t>
            </w:r>
            <w:proofErr w:type="gramEnd"/>
            <w:r>
              <w:rPr>
                <w:rFonts w:ascii="Times New Roman" w:eastAsia="Times New Roman" w:hAnsi="Times New Roman" w:cs="Times New Roman"/>
                <w:lang w:eastAsia="ru-RU"/>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предполагаемый к поставке лекарственный препарат был зарегистрирован на территории Республики Беларусь;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действия регистрационного удостоверения на него истек не ранее, чем за 4 года до истечения срока для подготовки и подачи предложений;</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Также должна быть представлена </w:t>
            </w:r>
            <w:proofErr w:type="spellStart"/>
            <w:r>
              <w:rPr>
                <w:rFonts w:ascii="Times New Roman" w:eastAsia="Times New Roman" w:hAnsi="Times New Roman" w:cs="Times New Roman"/>
                <w:lang w:eastAsia="ru-RU"/>
              </w:rPr>
              <w:t>SmPC</w:t>
            </w:r>
            <w:proofErr w:type="spellEnd"/>
            <w:r>
              <w:rPr>
                <w:rFonts w:ascii="Times New Roman" w:eastAsia="Times New Roman" w:hAnsi="Times New Roman" w:cs="Times New Roman"/>
                <w:lang w:eastAsia="ru-RU"/>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Не принимаются к рассмотрению предложения участников в соответствии с настоящим подпунктом на лекарственные препараты:</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регистрационные удостоверения на которые были приостановлены в связи с неблагоприятным профилем безопасности лекарственного препарата;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регистрационные удостоверения на которые были приостановлены </w:t>
            </w:r>
            <w:r>
              <w:rPr>
                <w:rFonts w:ascii="Times New Roman" w:eastAsia="Times New Roman" w:hAnsi="Times New Roman" w:cs="Times New Roman"/>
                <w:lang w:eastAsia="ru-RU"/>
              </w:rPr>
              <w:lastRenderedPageBreak/>
              <w:t>по инициативе Министерства здравоохранения;</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государственной регистрации (перерегистрации, подтверждении регистрации) которых было отказано. </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Pr>
                <w:rFonts w:ascii="Times New Roman" w:eastAsia="Times New Roman" w:hAnsi="Times New Roman" w:cs="Times New Roman"/>
                <w:lang w:eastAsia="ru-RU"/>
              </w:rPr>
              <w:t>EudraGMDP</w:t>
            </w:r>
            <w:proofErr w:type="spellEnd"/>
            <w:r>
              <w:rPr>
                <w:rFonts w:ascii="Times New Roman" w:eastAsia="Times New Roman" w:hAnsi="Times New Roman" w:cs="Times New Roman"/>
                <w:lang w:eastAsia="ru-RU"/>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 Гарантийные письма участника с переводом на русский (белорусский) язык:</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 соблюдении условий хранения и транспортировки лекарственного препарата;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Pr>
                <w:rFonts w:ascii="Times New Roman" w:eastAsia="Times New Roman" w:hAnsi="Times New Roman" w:cs="Times New Roman"/>
                <w:lang w:eastAsia="ru-RU"/>
              </w:rPr>
              <w:t>стикеров</w:t>
            </w:r>
            <w:proofErr w:type="spellEnd"/>
            <w:r>
              <w:rPr>
                <w:rFonts w:ascii="Times New Roman" w:eastAsia="Times New Roman" w:hAnsi="Times New Roman" w:cs="Times New Roman"/>
                <w:lang w:eastAsia="ru-RU"/>
              </w:rPr>
              <w:t xml:space="preserve"> (в случае необходимости);</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 Заполненную спецификацию по установленной форме.</w:t>
            </w:r>
          </w:p>
        </w:tc>
      </w:tr>
      <w:tr>
        <w:tc>
          <w:tcPr>
            <w:tcW w:w="3134" w:type="dxa"/>
            <w:tcBorders>
              <w:top w:val="nil"/>
              <w:left w:val="single" w:sz="6" w:space="0" w:color="auto"/>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Наименование валюты, в которой должна быть выражена цена предложения, наименование валюты и при </w:t>
            </w:r>
            <w:r>
              <w:rPr>
                <w:rFonts w:ascii="Times New Roman" w:eastAsia="Times New Roman" w:hAnsi="Times New Roman" w:cs="Times New Roman"/>
                <w:lang w:eastAsia="ru-RU"/>
              </w:rPr>
              <w:lastRenderedPageBreak/>
              <w:t>необходимости обменный курс, которые будут использованы для заключения договора.</w:t>
            </w:r>
          </w:p>
        </w:tc>
        <w:tc>
          <w:tcPr>
            <w:tcW w:w="6639" w:type="dxa"/>
            <w:tcBorders>
              <w:top w:val="nil"/>
              <w:left w:val="nil"/>
              <w:bottom w:val="single" w:sz="6"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Цена участника должна быть выражена в белорусских рублях за весь объём по лоту включая уплату таможенных пошлин, косвенных налогов (в том числе налог на добавленную стоимость).</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случае определения участником-победителем резидента </w:t>
            </w:r>
            <w:r>
              <w:rPr>
                <w:rFonts w:ascii="Times New Roman" w:eastAsia="Times New Roman" w:hAnsi="Times New Roman" w:cs="Times New Roman"/>
                <w:lang w:eastAsia="ru-RU"/>
              </w:rPr>
              <w:lastRenderedPageBreak/>
              <w:t>Республики Беларусь, валютой договора является белорусский рубль (BYN).</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случае определения поставщика -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(кроме резидентов РФ) путем пересчета цены (ставки) участника-победителя по курсу Национального банка Республики Беларусь на конечную дату предоставления документов и (или) сведений поставщиками. </w:t>
            </w:r>
          </w:p>
          <w:p>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i/>
                <w:lang w:eastAsia="ru-RU"/>
              </w:rPr>
              <w:t>Справочно</w:t>
            </w:r>
            <w:proofErr w:type="spellEnd"/>
            <w:r>
              <w:rPr>
                <w:rFonts w:ascii="Times New Roman" w:eastAsia="Times New Roman" w:hAnsi="Times New Roman" w:cs="Times New Roman"/>
                <w:i/>
                <w:lang w:eastAsia="ru-RU"/>
              </w:rPr>
              <w:t>: данное требование установлено с целью исполнения покупателем финансовых обязательств по контракту.</w:t>
            </w:r>
          </w:p>
        </w:tc>
      </w:tr>
      <w:tr>
        <w:tc>
          <w:tcPr>
            <w:tcW w:w="3134" w:type="dxa"/>
            <w:tcBorders>
              <w:top w:val="nil"/>
              <w:left w:val="single" w:sz="6" w:space="0" w:color="auto"/>
              <w:bottom w:val="single" w:sz="6"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Требования к участникам, документы и (или) сведения для проверки требований к участникам</w:t>
            </w:r>
          </w:p>
        </w:tc>
        <w:tc>
          <w:tcPr>
            <w:tcW w:w="6639" w:type="dxa"/>
            <w:tcBorders>
              <w:top w:val="nil"/>
              <w:left w:val="nil"/>
              <w:bottom w:val="single" w:sz="6" w:space="0" w:color="auto"/>
              <w:right w:val="single" w:sz="6" w:space="0" w:color="auto"/>
            </w:tcBorders>
            <w:hideMark/>
          </w:tcPr>
          <w:p>
            <w:pPr>
              <w:pStyle w:val="ConsPlusNormal"/>
              <w:spacing w:after="40"/>
              <w:jc w:val="both"/>
              <w:rPr>
                <w:sz w:val="22"/>
                <w:szCs w:val="22"/>
              </w:rPr>
            </w:pPr>
            <w:r>
              <w:rPr>
                <w:sz w:val="22"/>
                <w:szCs w:val="22"/>
              </w:rPr>
              <w:t>1.Участником признается юридическое или физическое лицо, в том числе индивидуальный предприниматель, получившее от организатора предложение о заключении договора.</w:t>
            </w:r>
          </w:p>
          <w:p>
            <w:pPr>
              <w:pStyle w:val="ConsPlusNormal"/>
              <w:spacing w:after="40"/>
              <w:jc w:val="both"/>
              <w:rPr>
                <w:sz w:val="22"/>
                <w:szCs w:val="22"/>
              </w:rPr>
            </w:pP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 При проведении процедуры государственной закупки к участникам предъявляются следующие требования:</w:t>
            </w:r>
          </w:p>
          <w:p>
            <w:pPr>
              <w:spacing w:after="40" w:line="240" w:lineRule="auto"/>
              <w:jc w:val="both"/>
              <w:rPr>
                <w:rFonts w:ascii="Times New Roman" w:hAnsi="Times New Roman" w:cs="Times New Roman"/>
              </w:rPr>
            </w:pPr>
            <w:r>
              <w:rPr>
                <w:rFonts w:ascii="Times New Roman" w:hAnsi="Times New Roman" w:cs="Times New Roman"/>
              </w:rPr>
              <w:t xml:space="preserve">2.1.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2.2. физическое лицо, в том числе индивидуальный предприниматель,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2.3. у физического лица, в том числе индивидуального предпринимателя,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w:t>
            </w:r>
            <w:r>
              <w:rPr>
                <w:rFonts w:ascii="Times New Roman" w:hAnsi="Times New Roman" w:cs="Times New Roman"/>
                <w:vertAlign w:val="superscript"/>
              </w:rPr>
              <w:t>3</w:t>
            </w:r>
            <w:r>
              <w:rPr>
                <w:rFonts w:ascii="Times New Roman" w:hAnsi="Times New Roman" w:cs="Times New Roman"/>
              </w:rPr>
              <w:t>, 424 - 426, 429 - 432 и 455 Уголовного кодекса Республики Беларусь;</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pPr>
              <w:spacing w:after="40" w:line="240" w:lineRule="auto"/>
              <w:jc w:val="both"/>
              <w:rPr>
                <w:rFonts w:ascii="Times New Roman" w:hAnsi="Times New Roman" w:cs="Times New Roman"/>
              </w:rPr>
            </w:pPr>
            <w:r>
              <w:rPr>
                <w:rFonts w:ascii="Times New Roman" w:hAnsi="Times New Roman" w:cs="Times New Roman"/>
              </w:rPr>
              <w:t>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pPr>
              <w:spacing w:after="40" w:line="240" w:lineRule="auto"/>
              <w:jc w:val="both"/>
              <w:rPr>
                <w:rFonts w:ascii="Times New Roman" w:hAnsi="Times New Roman" w:cs="Times New Roman"/>
              </w:rPr>
            </w:pPr>
            <w:r>
              <w:rPr>
                <w:rFonts w:ascii="Times New Roman" w:hAnsi="Times New Roman" w:cs="Times New Roman"/>
              </w:rPr>
              <w:t>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pPr>
              <w:spacing w:after="40" w:line="240" w:lineRule="auto"/>
              <w:jc w:val="both"/>
              <w:rPr>
                <w:rFonts w:ascii="Times New Roman" w:hAnsi="Times New Roman" w:cs="Times New Roman"/>
              </w:rPr>
            </w:pPr>
            <w:r>
              <w:rPr>
                <w:rFonts w:ascii="Times New Roman" w:hAnsi="Times New Roman" w:cs="Times New Roman"/>
              </w:rPr>
              <w:t xml:space="preserve">2.7. юридическое или физическое лицо, в том числе индивидуальный </w:t>
            </w:r>
            <w:r>
              <w:rPr>
                <w:rFonts w:ascii="Times New Roman" w:hAnsi="Times New Roman" w:cs="Times New Roman"/>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pPr>
              <w:spacing w:after="40" w:line="240" w:lineRule="auto"/>
              <w:jc w:val="both"/>
              <w:rPr>
                <w:rFonts w:ascii="Times New Roman" w:hAnsi="Times New Roman" w:cs="Times New Roman"/>
              </w:rPr>
            </w:pPr>
            <w:r>
              <w:rPr>
                <w:rFonts w:ascii="Times New Roman" w:hAnsi="Times New Roman" w:cs="Times New Roman"/>
              </w:rPr>
              <w:t xml:space="preserve">2.8.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 </w:t>
            </w:r>
          </w:p>
          <w:p>
            <w:pPr>
              <w:autoSpaceDE w:val="0"/>
              <w:autoSpaceDN w:val="0"/>
              <w:adjustRightInd w:val="0"/>
              <w:spacing w:after="40" w:line="240" w:lineRule="auto"/>
              <w:jc w:val="both"/>
              <w:rPr>
                <w:rFonts w:ascii="Times New Roman" w:hAnsi="Times New Roman" w:cs="Times New Roman"/>
              </w:rPr>
            </w:pPr>
            <w:bookmarkStart w:id="1" w:name="Par8"/>
            <w:bookmarkEnd w:id="1"/>
            <w:r>
              <w:rPr>
                <w:rFonts w:ascii="Times New Roman" w:hAnsi="Times New Roman" w:cs="Times New Roman"/>
              </w:rPr>
              <w:t xml:space="preserve">2.9. юридическое или физическое лицо, в том числе индивидуальный предприниматель, на дату подачи предложения не должно быть включено в </w:t>
            </w:r>
            <w:hyperlink r:id="rId6" w:history="1">
              <w:r>
                <w:rPr>
                  <w:rStyle w:val="a8"/>
                  <w:rFonts w:ascii="Times New Roman" w:hAnsi="Times New Roman" w:cs="Times New Roman"/>
                  <w:color w:val="auto"/>
                </w:rPr>
                <w:t>список</w:t>
              </w:r>
            </w:hyperlink>
            <w:r>
              <w:rPr>
                <w:rFonts w:ascii="Times New Roman" w:hAnsi="Times New Roman" w:cs="Times New Roman"/>
              </w:rPr>
              <w:t xml:space="preserve"> поставщиков (подрядчиков, исполнителей), временно не допускаемых к участию в процедурах государственных закупок;</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2.10. юридическое или физическое лицо, в том числе индивидуальный предприниматель с учетом положений статьи 16-1 Закона Республики Беларусь от 13.07.2012 № 419-З "О государственных закупках товаров (работ, услуг)", не должно быть аффилировано с заказчиком, организатором;</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2.11.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2.12.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2.13.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2.14.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pPr>
              <w:spacing w:after="40" w:line="240" w:lineRule="auto"/>
              <w:jc w:val="both"/>
              <w:rPr>
                <w:rFonts w:ascii="Times New Roman" w:hAnsi="Times New Roman" w:cs="Times New Roman"/>
              </w:rPr>
            </w:pPr>
            <w:r>
              <w:rPr>
                <w:rFonts w:ascii="Times New Roman" w:hAnsi="Times New Roman" w:cs="Times New Roman"/>
              </w:rPr>
              <w:t xml:space="preserve">2.15. в отношении юридического лица и индивидуального предпринимателя не должно быть возбуждено производство по делу </w:t>
            </w:r>
            <w:r>
              <w:rPr>
                <w:rFonts w:ascii="Times New Roman" w:hAnsi="Times New Roman" w:cs="Times New Roman"/>
              </w:rPr>
              <w:lastRenderedPageBreak/>
              <w:t>о банкротстве;</w:t>
            </w:r>
          </w:p>
          <w:p>
            <w:pPr>
              <w:spacing w:after="40" w:line="240" w:lineRule="auto"/>
              <w:jc w:val="both"/>
              <w:rPr>
                <w:rFonts w:ascii="Times New Roman" w:hAnsi="Times New Roman" w:cs="Times New Roman"/>
              </w:rPr>
            </w:pPr>
            <w:r>
              <w:rPr>
                <w:rFonts w:ascii="Times New Roman" w:hAnsi="Times New Roman" w:cs="Times New Roman"/>
              </w:rPr>
              <w:t>2.16.</w:t>
            </w:r>
            <w:r>
              <w:rPr>
                <w:rFonts w:ascii="Times New Roman" w:hAnsi="Times New Roman" w:cs="Times New Roman"/>
                <w:shd w:val="clear" w:color="auto" w:fill="FFFFFF"/>
              </w:rPr>
              <w:t xml:space="preserve"> </w:t>
            </w:r>
            <w:r>
              <w:rPr>
                <w:rStyle w:val="word-wrapper"/>
                <w:rFonts w:ascii="Times New Roman" w:hAnsi="Times New Roman" w:cs="Times New Roman"/>
                <w:shd w:val="clear" w:color="auto" w:fill="FFFFFF"/>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pPr>
              <w:spacing w:after="40" w:line="240" w:lineRule="auto"/>
              <w:jc w:val="both"/>
              <w:rPr>
                <w:rFonts w:ascii="Times New Roman" w:hAnsi="Times New Roman" w:cs="Times New Roman"/>
              </w:rPr>
            </w:pPr>
            <w:r>
              <w:rPr>
                <w:rFonts w:ascii="Times New Roman" w:hAnsi="Times New Roman" w:cs="Times New Roman"/>
              </w:rPr>
              <w:t>2.17.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pPr>
              <w:pStyle w:val="p-normal"/>
              <w:shd w:val="clear" w:color="auto" w:fill="FFFFFF"/>
              <w:spacing w:before="0" w:beforeAutospacing="0" w:after="40" w:afterAutospacing="0"/>
              <w:ind w:firstLine="450"/>
              <w:jc w:val="both"/>
              <w:rPr>
                <w:i/>
                <w:sz w:val="22"/>
                <w:szCs w:val="22"/>
              </w:rPr>
            </w:pPr>
            <w:r>
              <w:rPr>
                <w:sz w:val="22"/>
                <w:szCs w:val="22"/>
              </w:rPr>
              <w:t xml:space="preserve">3. Участник предоставляет документы, подтверждающие соответствие требованиям п. 2.1-2.17, </w:t>
            </w:r>
            <w:r>
              <w:rPr>
                <w:i/>
                <w:sz w:val="22"/>
                <w:szCs w:val="22"/>
              </w:rPr>
              <w:t>после</w:t>
            </w:r>
            <w:r>
              <w:rPr>
                <w:sz w:val="22"/>
                <w:szCs w:val="22"/>
              </w:rPr>
              <w:t xml:space="preserve"> </w:t>
            </w:r>
            <w:r>
              <w:rPr>
                <w:i/>
                <w:sz w:val="22"/>
                <w:szCs w:val="22"/>
              </w:rPr>
              <w:t>размещения организатором предложения о заключении договора.</w:t>
            </w:r>
          </w:p>
          <w:p>
            <w:pPr>
              <w:spacing w:after="40" w:line="240" w:lineRule="auto"/>
              <w:jc w:val="both"/>
              <w:rPr>
                <w:rFonts w:ascii="Times New Roman" w:hAnsi="Times New Roman" w:cs="Times New Roman"/>
              </w:rPr>
            </w:pPr>
          </w:p>
          <w:p>
            <w:pPr>
              <w:spacing w:after="40" w:line="240" w:lineRule="auto"/>
              <w:jc w:val="both"/>
              <w:rPr>
                <w:rFonts w:ascii="Times New Roman" w:hAnsi="Times New Roman" w:cs="Times New Roman"/>
              </w:rPr>
            </w:pPr>
            <w:r>
              <w:rPr>
                <w:rFonts w:ascii="Times New Roman" w:hAnsi="Times New Roman" w:cs="Times New Roman"/>
              </w:rPr>
              <w:t>Соответствие требованиям пункта 2.1. подтверждается путем предоставления следующих документов:</w:t>
            </w:r>
          </w:p>
          <w:p>
            <w:pPr>
              <w:pStyle w:val="a9"/>
              <w:numPr>
                <w:ilvl w:val="0"/>
                <w:numId w:val="1"/>
              </w:numPr>
              <w:spacing w:after="40"/>
              <w:jc w:val="both"/>
              <w:rPr>
                <w:sz w:val="22"/>
                <w:szCs w:val="22"/>
              </w:rPr>
            </w:pPr>
            <w:r>
              <w:rPr>
                <w:sz w:val="22"/>
                <w:szCs w:val="22"/>
              </w:rPr>
              <w:t xml:space="preserve">разрешение (лицензия) на осуществление деятельности (фармацевтической деятельности) по производству или </w:t>
            </w:r>
            <w:proofErr w:type="spellStart"/>
            <w:r>
              <w:rPr>
                <w:sz w:val="22"/>
                <w:szCs w:val="22"/>
              </w:rPr>
              <w:t>дистрибьюции</w:t>
            </w:r>
            <w:proofErr w:type="spellEnd"/>
            <w:r>
              <w:rPr>
                <w:sz w:val="22"/>
                <w:szCs w:val="22"/>
              </w:rPr>
              <w:t xml:space="preserve">* лекарственных средств, выданное уполномоченным органом страны </w:t>
            </w:r>
            <w:proofErr w:type="gramStart"/>
            <w:r>
              <w:rPr>
                <w:sz w:val="22"/>
                <w:szCs w:val="22"/>
              </w:rPr>
              <w:t>участника.*</w:t>
            </w:r>
            <w:proofErr w:type="gramEnd"/>
            <w:r>
              <w:rPr>
                <w:sz w:val="22"/>
                <w:szCs w:val="22"/>
              </w:rPr>
              <w:t>*</w:t>
            </w:r>
          </w:p>
          <w:p>
            <w:pPr>
              <w:spacing w:after="40" w:line="240" w:lineRule="auto"/>
              <w:jc w:val="both"/>
              <w:rPr>
                <w:rFonts w:ascii="Times New Roman" w:hAnsi="Times New Roman" w:cs="Times New Roman"/>
              </w:rPr>
            </w:pPr>
            <w:r>
              <w:rPr>
                <w:rFonts w:ascii="Times New Roman" w:hAnsi="Times New Roman" w:cs="Times New Roman"/>
              </w:rPr>
              <w:t xml:space="preserve">В случае, если к поставке предлагается наркотическое средство или психотропное вещество, участник обязан предоставить разрешение (лицензию) на деятельность, связанную с оборотом наркотических средств, психотропных веществ и их </w:t>
            </w:r>
            <w:proofErr w:type="spellStart"/>
            <w:r>
              <w:rPr>
                <w:rFonts w:ascii="Times New Roman" w:hAnsi="Times New Roman" w:cs="Times New Roman"/>
              </w:rPr>
              <w:t>прекурсоров</w:t>
            </w:r>
            <w:proofErr w:type="spellEnd"/>
            <w:r>
              <w:rPr>
                <w:rFonts w:ascii="Times New Roman" w:hAnsi="Times New Roman" w:cs="Times New Roman"/>
              </w:rPr>
              <w:t>;</w:t>
            </w:r>
          </w:p>
          <w:p>
            <w:pPr>
              <w:spacing w:after="40" w:line="240" w:lineRule="auto"/>
              <w:jc w:val="both"/>
              <w:rPr>
                <w:rFonts w:ascii="Times New Roman" w:hAnsi="Times New Roman" w:cs="Times New Roman"/>
                <w:i/>
              </w:rPr>
            </w:pPr>
            <w:r>
              <w:rPr>
                <w:rFonts w:ascii="Times New Roman" w:hAnsi="Times New Roman" w:cs="Times New Roman"/>
                <w:i/>
              </w:rPr>
              <w:t>*</w:t>
            </w:r>
            <w:proofErr w:type="spellStart"/>
            <w:r>
              <w:rPr>
                <w:rFonts w:ascii="Times New Roman" w:hAnsi="Times New Roman" w:cs="Times New Roman"/>
                <w:i/>
              </w:rPr>
              <w:t>дистрибьюция</w:t>
            </w:r>
            <w:proofErr w:type="spellEnd"/>
            <w:r>
              <w:rPr>
                <w:rFonts w:ascii="Times New Roman" w:hAnsi="Times New Roman" w:cs="Times New Roman"/>
                <w:i/>
              </w:rPr>
              <w:t>-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pPr>
              <w:spacing w:after="40" w:line="240" w:lineRule="auto"/>
              <w:jc w:val="both"/>
              <w:rPr>
                <w:rFonts w:ascii="Times New Roman" w:hAnsi="Times New Roman" w:cs="Times New Roman"/>
                <w:i/>
              </w:rPr>
            </w:pPr>
            <w:r>
              <w:rPr>
                <w:rFonts w:ascii="Times New Roman" w:hAnsi="Times New Roman" w:cs="Times New Roman"/>
                <w:i/>
              </w:rPr>
              <w:t>** Резиденты Республики Беларусь и Российской Федерации предоставляют копию разрешения (лицензии) на фармацевтическую деятельность или выписку из Единого реестра лицензий, действующего на территории Республики Беларусь или соответственно Российской Федерации;</w:t>
            </w:r>
          </w:p>
          <w:p>
            <w:pPr>
              <w:spacing w:after="40" w:line="240" w:lineRule="auto"/>
              <w:ind w:left="589"/>
              <w:jc w:val="both"/>
              <w:rPr>
                <w:rFonts w:ascii="Times New Roman" w:hAnsi="Times New Roman" w:cs="Times New Roman"/>
              </w:rPr>
            </w:pPr>
            <w:r>
              <w:rPr>
                <w:rFonts w:ascii="Times New Roman" w:hAnsi="Times New Roman" w:cs="Times New Roman"/>
              </w:rPr>
              <w:t>2) документ, подтверждающий регистрацию участника в стране его происхождения:</w:t>
            </w:r>
          </w:p>
          <w:p>
            <w:pPr>
              <w:spacing w:after="40" w:line="240" w:lineRule="auto"/>
              <w:jc w:val="both"/>
              <w:rPr>
                <w:rFonts w:ascii="Times New Roman" w:hAnsi="Times New Roman" w:cs="Times New Roman"/>
              </w:rPr>
            </w:pPr>
            <w:r>
              <w:rPr>
                <w:rFonts w:ascii="Times New Roman" w:hAnsi="Times New Roman" w:cs="Times New Roman"/>
              </w:rPr>
              <w:t>а)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pPr>
              <w:spacing w:after="40" w:line="240" w:lineRule="auto"/>
              <w:jc w:val="both"/>
              <w:rPr>
                <w:rFonts w:ascii="Times New Roman" w:hAnsi="Times New Roman" w:cs="Times New Roman"/>
              </w:rPr>
            </w:pPr>
            <w:r>
              <w:rPr>
                <w:rFonts w:ascii="Times New Roman" w:hAnsi="Times New Roman" w:cs="Times New Roman"/>
              </w:rPr>
              <w:t>б) выписку из торгового реестра страны регистрации участника (для нерезидентов стран-членов Евразийского экономического союза).</w:t>
            </w:r>
          </w:p>
          <w:p>
            <w:pPr>
              <w:spacing w:after="40" w:line="240" w:lineRule="auto"/>
              <w:jc w:val="both"/>
              <w:rPr>
                <w:rFonts w:ascii="Times New Roman" w:hAnsi="Times New Roman" w:cs="Times New Roman"/>
              </w:rPr>
            </w:pPr>
            <w:r>
              <w:rPr>
                <w:rFonts w:ascii="Times New Roman" w:hAnsi="Times New Roman" w:cs="Times New Roman"/>
              </w:rPr>
              <w:t xml:space="preserve">Выписка из торгового реестра страны регистрации участника должна быть выдана не ранее, чем за 12 (двенадцать) месяцев до истечения срока для подготовки и подачи предложений </w:t>
            </w:r>
          </w:p>
          <w:p>
            <w:pPr>
              <w:pStyle w:val="p-normal"/>
              <w:shd w:val="clear" w:color="auto" w:fill="FFFFFF"/>
              <w:spacing w:before="0" w:beforeAutospacing="0" w:after="40" w:afterAutospacing="0"/>
              <w:ind w:firstLine="450"/>
              <w:jc w:val="both"/>
              <w:rPr>
                <w:i/>
                <w:sz w:val="22"/>
                <w:szCs w:val="22"/>
              </w:rPr>
            </w:pPr>
            <w:r>
              <w:rPr>
                <w:i/>
                <w:sz w:val="22"/>
                <w:szCs w:val="22"/>
              </w:rPr>
              <w:t>Соответствие требованиям пункта 2.2. - 2.7, 2.10-2.17 подтверждается заявлением участника. Такое заявление подается по форме, установленной регламентом оператора электронной торговой площадки, после размещения организатором предложения о заключении договора.</w:t>
            </w:r>
          </w:p>
          <w:p>
            <w:pPr>
              <w:spacing w:after="40" w:line="240" w:lineRule="auto"/>
              <w:ind w:firstLine="708"/>
              <w:jc w:val="both"/>
              <w:rPr>
                <w:rFonts w:ascii="Times New Roman" w:hAnsi="Times New Roman" w:cs="Times New Roman"/>
              </w:rPr>
            </w:pPr>
            <w:r>
              <w:rPr>
                <w:rFonts w:ascii="Times New Roman" w:hAnsi="Times New Roman" w:cs="Times New Roman"/>
              </w:rPr>
              <w:t>Соответствие требованиям пункта 2.8. подтверждается:</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lastRenderedPageBreak/>
              <w:t>- 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 xml:space="preserve"> -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 Заявление предоставляется по форме установленной в приложении 3 к заявке на покупку.</w:t>
            </w:r>
          </w:p>
          <w:p>
            <w:pPr>
              <w:autoSpaceDE w:val="0"/>
              <w:autoSpaceDN w:val="0"/>
              <w:adjustRightInd w:val="0"/>
              <w:spacing w:after="40" w:line="240" w:lineRule="auto"/>
              <w:ind w:firstLine="709"/>
              <w:jc w:val="both"/>
              <w:rPr>
                <w:rFonts w:ascii="Times New Roman" w:hAnsi="Times New Roman" w:cs="Times New Roman"/>
              </w:rPr>
            </w:pPr>
            <w:r>
              <w:rPr>
                <w:rFonts w:ascii="Times New Roman" w:hAnsi="Times New Roman" w:cs="Times New Roman"/>
              </w:rPr>
              <w:t>Участники, не являющиеся резидентами, должны предоставить документы, подтверждающие соответствие требованиям п.2.8., с учетом следующей информации.</w:t>
            </w:r>
          </w:p>
          <w:p>
            <w:pPr>
              <w:autoSpaceDE w:val="0"/>
              <w:autoSpaceDN w:val="0"/>
              <w:adjustRightInd w:val="0"/>
              <w:spacing w:after="40" w:line="240" w:lineRule="auto"/>
              <w:ind w:firstLine="709"/>
              <w:jc w:val="both"/>
              <w:rPr>
                <w:rFonts w:ascii="Times New Roman" w:eastAsia="Arial" w:hAnsi="Times New Roman" w:cs="Times New Roman"/>
                <w:i/>
                <w:kern w:val="2"/>
                <w:lang w:eastAsia="ar-SA" w:bidi="ru-RU"/>
              </w:rPr>
            </w:pPr>
            <w:r>
              <w:rPr>
                <w:rFonts w:ascii="Times New Roman" w:hAnsi="Times New Roman" w:cs="Times New Roman"/>
              </w:rPr>
              <w:t xml:space="preserve"> </w:t>
            </w:r>
            <w:r>
              <w:rPr>
                <w:rFonts w:ascii="Times New Roman" w:hAnsi="Times New Roman" w:cs="Times New Roman"/>
                <w:i/>
              </w:rPr>
              <w:t xml:space="preserve">Обращаем внимание, что документ об отсутствии задолженности по уплате налогов, сборов (пошлин), пеней должен быть выдан именно </w:t>
            </w:r>
            <w:r>
              <w:rPr>
                <w:rFonts w:ascii="Times New Roman" w:hAnsi="Times New Roman" w:cs="Times New Roman"/>
                <w:b/>
                <w:i/>
              </w:rPr>
              <w:t>уполномоченным органом в соответствии с законодательством страны</w:t>
            </w:r>
            <w:r>
              <w:rPr>
                <w:rFonts w:ascii="Times New Roman" w:hAnsi="Times New Roman" w:cs="Times New Roman"/>
                <w:i/>
              </w:rPr>
              <w:t xml:space="preserve">, резидентом которой является участник. </w:t>
            </w:r>
          </w:p>
          <w:p>
            <w:pPr>
              <w:autoSpaceDE w:val="0"/>
              <w:autoSpaceDN w:val="0"/>
              <w:adjustRightInd w:val="0"/>
              <w:spacing w:after="40" w:line="240" w:lineRule="auto"/>
              <w:ind w:firstLine="709"/>
              <w:jc w:val="both"/>
              <w:rPr>
                <w:rFonts w:ascii="Times New Roman" w:eastAsia="Calibri" w:hAnsi="Times New Roman" w:cs="Times New Roman"/>
                <w:i/>
              </w:rPr>
            </w:pPr>
            <w:r>
              <w:rPr>
                <w:rFonts w:ascii="Times New Roman" w:eastAsia="Arial" w:hAnsi="Times New Roman" w:cs="Times New Roman"/>
                <w:i/>
                <w:kern w:val="2"/>
                <w:lang w:eastAsia="ar-SA" w:bidi="ru-RU"/>
              </w:rPr>
              <w:t>При этом Закон Республики Беларусь от 13.07.2012 № 419-З</w:t>
            </w:r>
            <w:r>
              <w:rPr>
                <w:rFonts w:ascii="Times New Roman" w:hAnsi="Times New Roman" w:cs="Times New Roman"/>
                <w:i/>
              </w:rPr>
              <w:t xml:space="preserve"> «О государственных закупках товаров (работ, услуг)» не определяет дату, которая для того либо иного государства является отчетной датой. </w:t>
            </w:r>
            <w:r>
              <w:rPr>
                <w:rFonts w:ascii="Times New Roman" w:hAnsi="Times New Roman" w:cs="Times New Roman"/>
                <w:b/>
                <w:i/>
              </w:rPr>
              <w:t>Такая отчетная дата</w:t>
            </w:r>
            <w:r>
              <w:rPr>
                <w:rFonts w:ascii="Times New Roman" w:hAnsi="Times New Roman" w:cs="Times New Roman"/>
                <w:i/>
              </w:rPr>
              <w:t xml:space="preserve"> указывается участником в соответствующем заявлении.</w:t>
            </w:r>
          </w:p>
          <w:p>
            <w:pPr>
              <w:autoSpaceDE w:val="0"/>
              <w:autoSpaceDN w:val="0"/>
              <w:adjustRightInd w:val="0"/>
              <w:spacing w:after="40" w:line="240" w:lineRule="auto"/>
              <w:ind w:firstLine="709"/>
              <w:jc w:val="both"/>
              <w:rPr>
                <w:rFonts w:ascii="Times New Roman" w:hAnsi="Times New Roman" w:cs="Times New Roman"/>
                <w:b/>
              </w:rPr>
            </w:pPr>
            <w:r>
              <w:rPr>
                <w:rFonts w:ascii="Times New Roman" w:eastAsia="Arial" w:hAnsi="Times New Roman" w:cs="Times New Roman"/>
                <w:i/>
                <w:kern w:val="2"/>
                <w:lang w:eastAsia="ar-SA" w:bidi="ru-RU"/>
              </w:rPr>
              <w:t xml:space="preserve">Участник при подаче предложения самостоятельно определяет, когда и на какую отчетную дату подавать заявление для выполнения установленных законодательством требований к участникам. </w:t>
            </w:r>
            <w:r>
              <w:rPr>
                <w:rFonts w:ascii="Times New Roman" w:eastAsia="Arial" w:hAnsi="Times New Roman" w:cs="Times New Roman"/>
                <w:b/>
                <w:i/>
                <w:kern w:val="2"/>
                <w:lang w:eastAsia="ar-SA" w:bidi="ru-RU"/>
              </w:rPr>
              <w:t>Д</w:t>
            </w:r>
            <w:r>
              <w:rPr>
                <w:rFonts w:ascii="Times New Roman" w:hAnsi="Times New Roman" w:cs="Times New Roman"/>
                <w:b/>
                <w:i/>
              </w:rPr>
              <w:t>окумент</w:t>
            </w:r>
            <w:r>
              <w:rPr>
                <w:rFonts w:ascii="Times New Roman" w:hAnsi="Times New Roman" w:cs="Times New Roman"/>
                <w:i/>
              </w:rPr>
              <w:t xml:space="preserve"> </w:t>
            </w:r>
            <w:r>
              <w:rPr>
                <w:rFonts w:ascii="Times New Roman" w:hAnsi="Times New Roman" w:cs="Times New Roman"/>
                <w:b/>
                <w:i/>
              </w:rPr>
              <w:t>об отсутствии задолженности</w:t>
            </w:r>
            <w:r>
              <w:rPr>
                <w:rFonts w:ascii="Times New Roman" w:hAnsi="Times New Roman" w:cs="Times New Roman"/>
                <w:i/>
              </w:rPr>
              <w:t xml:space="preserve"> по уплате налогов, сборов (пошлин), пеней </w:t>
            </w:r>
            <w:r>
              <w:rPr>
                <w:rFonts w:ascii="Times New Roman" w:hAnsi="Times New Roman" w:cs="Times New Roman"/>
                <w:b/>
                <w:i/>
              </w:rPr>
              <w:t>должен быть</w:t>
            </w:r>
            <w:r>
              <w:rPr>
                <w:rFonts w:ascii="Times New Roman" w:hAnsi="Times New Roman" w:cs="Times New Roman"/>
                <w:i/>
              </w:rPr>
              <w:t xml:space="preserve"> предоставлен </w:t>
            </w:r>
            <w:r>
              <w:rPr>
                <w:rFonts w:ascii="Times New Roman" w:hAnsi="Times New Roman" w:cs="Times New Roman"/>
                <w:b/>
                <w:i/>
              </w:rPr>
              <w:t>на ту дату, которая была указана в заявлении</w:t>
            </w:r>
            <w:r>
              <w:rPr>
                <w:rFonts w:ascii="Times New Roman" w:hAnsi="Times New Roman" w:cs="Times New Roman"/>
                <w:i/>
              </w:rPr>
              <w:t xml:space="preserve"> в качестве последней отчетной.</w:t>
            </w:r>
          </w:p>
        </w:tc>
      </w:tr>
      <w:tr>
        <w:tc>
          <w:tcPr>
            <w:tcW w:w="3134" w:type="dxa"/>
            <w:tcBorders>
              <w:top w:val="nil"/>
              <w:left w:val="single" w:sz="6" w:space="0" w:color="auto"/>
              <w:bottom w:val="single" w:sz="4" w:space="0" w:color="auto"/>
              <w:right w:val="single" w:sz="6"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Совместное участие в процедуре государственной закупки</w:t>
            </w:r>
          </w:p>
        </w:tc>
        <w:tc>
          <w:tcPr>
            <w:tcW w:w="6639" w:type="dxa"/>
            <w:tcBorders>
              <w:top w:val="nil"/>
              <w:left w:val="nil"/>
              <w:bottom w:val="single" w:sz="4" w:space="0" w:color="auto"/>
              <w:right w:val="single" w:sz="6" w:space="0" w:color="auto"/>
            </w:tcBorders>
          </w:tcPr>
          <w:p>
            <w:pPr>
              <w:pStyle w:val="ConsPlusNonformat"/>
              <w:ind w:firstLine="567"/>
              <w:jc w:val="center"/>
              <w:rPr>
                <w:rFonts w:ascii="Times New Roman" w:hAnsi="Times New Roman" w:cs="Times New Roman"/>
                <w:b/>
                <w:sz w:val="22"/>
                <w:szCs w:val="22"/>
              </w:rPr>
            </w:pPr>
            <w:r>
              <w:rPr>
                <w:rFonts w:ascii="Times New Roman" w:hAnsi="Times New Roman" w:cs="Times New Roman"/>
                <w:b/>
                <w:sz w:val="22"/>
                <w:szCs w:val="22"/>
              </w:rPr>
              <w:t>Совместное участие в процедуре государственной закупки</w:t>
            </w:r>
          </w:p>
          <w:p>
            <w:pPr>
              <w:pStyle w:val="ConsPlusNonformat"/>
              <w:ind w:firstLine="567"/>
              <w:jc w:val="center"/>
              <w:rPr>
                <w:rFonts w:ascii="Times New Roman" w:hAnsi="Times New Roman" w:cs="Times New Roman"/>
                <w:b/>
                <w:sz w:val="22"/>
                <w:szCs w:val="22"/>
              </w:rPr>
            </w:pPr>
          </w:p>
          <w:p>
            <w:pPr>
              <w:pStyle w:val="ConsPlusNonformat"/>
              <w:ind w:firstLine="567"/>
              <w:jc w:val="both"/>
              <w:rPr>
                <w:rFonts w:ascii="Times New Roman" w:hAnsi="Times New Roman" w:cs="Times New Roman"/>
                <w:b/>
                <w:sz w:val="22"/>
                <w:szCs w:val="22"/>
              </w:rPr>
            </w:pPr>
            <w:r>
              <w:rPr>
                <w:rFonts w:ascii="Times New Roman" w:hAnsi="Times New Roman" w:cs="Times New Roman"/>
                <w:sz w:val="22"/>
                <w:szCs w:val="22"/>
              </w:rPr>
              <w:t xml:space="preserve">Совместное участие в процедурах государственных закупок допускается </w:t>
            </w:r>
            <w:r>
              <w:rPr>
                <w:rFonts w:ascii="Times New Roman" w:hAnsi="Times New Roman" w:cs="Times New Roman"/>
                <w:b/>
                <w:sz w:val="22"/>
                <w:szCs w:val="22"/>
              </w:rPr>
              <w:t xml:space="preserve">в случаях, установленных законодательными актами Республики Беларусь (для холдингов). </w:t>
            </w:r>
          </w:p>
          <w:p>
            <w:pPr>
              <w:pStyle w:val="p-normal"/>
              <w:shd w:val="clear" w:color="auto" w:fill="FFFFFF"/>
              <w:spacing w:before="0" w:beforeAutospacing="0" w:after="0" w:afterAutospacing="0"/>
              <w:ind w:firstLine="709"/>
              <w:jc w:val="both"/>
              <w:rPr>
                <w:sz w:val="22"/>
                <w:szCs w:val="22"/>
              </w:rPr>
            </w:pPr>
            <w:r>
              <w:rPr>
                <w:rStyle w:val="word-wrapper"/>
                <w:sz w:val="22"/>
                <w:szCs w:val="22"/>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pPr>
              <w:pStyle w:val="p-normal"/>
              <w:shd w:val="clear" w:color="auto" w:fill="FFFFFF"/>
              <w:spacing w:before="0" w:beforeAutospacing="0" w:after="0" w:afterAutospacing="0"/>
              <w:ind w:firstLine="709"/>
              <w:jc w:val="both"/>
              <w:rPr>
                <w:sz w:val="22"/>
                <w:szCs w:val="22"/>
              </w:rPr>
            </w:pPr>
            <w:r>
              <w:rPr>
                <w:rStyle w:val="word-wrapper"/>
                <w:sz w:val="22"/>
                <w:szCs w:val="22"/>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w:t>
            </w:r>
            <w:r>
              <w:rPr>
                <w:rStyle w:val="word-wrapper"/>
                <w:sz w:val="22"/>
                <w:szCs w:val="22"/>
              </w:rPr>
              <w:lastRenderedPageBreak/>
              <w:t>процедуре государственной закупки и предоставляется в составе предложения (до заключения договора);</w:t>
            </w:r>
          </w:p>
          <w:p>
            <w:pPr>
              <w:pStyle w:val="p-normal"/>
              <w:shd w:val="clear" w:color="auto" w:fill="FFFFFF"/>
              <w:spacing w:before="0" w:beforeAutospacing="0" w:after="0" w:afterAutospacing="0"/>
              <w:ind w:firstLine="709"/>
              <w:jc w:val="both"/>
              <w:rPr>
                <w:sz w:val="22"/>
                <w:szCs w:val="22"/>
              </w:rPr>
            </w:pPr>
            <w:r>
              <w:rPr>
                <w:rStyle w:val="word-wrapper"/>
                <w:sz w:val="22"/>
                <w:szCs w:val="22"/>
              </w:rPr>
              <w:t xml:space="preserve">соответствие требованиям к участникам, установленным пунктами 2.1, 2.16-2.17 раздела </w:t>
            </w:r>
            <w:r>
              <w:rPr>
                <w:sz w:val="22"/>
                <w:szCs w:val="22"/>
              </w:rPr>
              <w:t xml:space="preserve">«Требования к участникам, документы и (или) сведения для проверки требований к участникам», </w:t>
            </w:r>
            <w:r>
              <w:rPr>
                <w:rStyle w:val="word-wrapper"/>
                <w:sz w:val="22"/>
                <w:szCs w:val="22"/>
              </w:rPr>
              <w:t>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ind w:firstLine="708"/>
              <w:jc w:val="both"/>
              <w:rPr>
                <w:rFonts w:ascii="Times New Roman" w:hAnsi="Times New Roman" w:cs="Times New Roman"/>
              </w:rPr>
            </w:pPr>
            <w:r>
              <w:rPr>
                <w:rStyle w:val="word-wrapper"/>
                <w:rFonts w:ascii="Times New Roman" w:hAnsi="Times New Roman" w:cs="Times New Roman"/>
              </w:rPr>
              <w:t>соответствие дополнительным требованиям к участникам, установленным пунктами 2.2.-2.7.</w:t>
            </w:r>
            <w:r>
              <w:rPr>
                <w:rFonts w:ascii="Times New Roman" w:hAnsi="Times New Roman" w:cs="Times New Roman"/>
              </w:rPr>
              <w:t xml:space="preserve"> </w:t>
            </w:r>
            <w:r>
              <w:rPr>
                <w:rStyle w:val="word-wrapper"/>
                <w:rFonts w:ascii="Times New Roman" w:hAnsi="Times New Roman" w:cs="Times New Roman"/>
              </w:rPr>
              <w:t xml:space="preserve">раздела </w:t>
            </w:r>
            <w:r>
              <w:rPr>
                <w:rFonts w:ascii="Times New Roman" w:hAnsi="Times New Roman" w:cs="Times New Roman"/>
              </w:rPr>
              <w:t>«Требования к участникам, документы и (или) сведения для проверки требований к участникам»,</w:t>
            </w:r>
            <w:r>
              <w:rPr>
                <w:rStyle w:val="word-wrapper"/>
                <w:rFonts w:ascii="Times New Roman" w:hAnsi="Times New Roman" w:cs="Times New Roman"/>
              </w:rPr>
              <w:t xml:space="preserve"> </w:t>
            </w:r>
            <w:r>
              <w:rPr>
                <w:rFonts w:ascii="Times New Roman" w:hAnsi="Times New Roman" w:cs="Times New Roman"/>
              </w:rPr>
              <w:t>подтверждается заявлением участника в отношении каждого участника холдинга;</w:t>
            </w:r>
          </w:p>
          <w:p>
            <w:pPr>
              <w:pStyle w:val="p-normal"/>
              <w:shd w:val="clear" w:color="auto" w:fill="FFFFFF"/>
              <w:spacing w:before="0" w:beforeAutospacing="0" w:after="0" w:afterAutospacing="0"/>
              <w:ind w:firstLine="709"/>
              <w:jc w:val="both"/>
              <w:rPr>
                <w:sz w:val="22"/>
                <w:szCs w:val="22"/>
              </w:rPr>
            </w:pPr>
            <w:r>
              <w:rPr>
                <w:rStyle w:val="word-wrapper"/>
                <w:sz w:val="22"/>
                <w:szCs w:val="22"/>
              </w:rPr>
              <w:t xml:space="preserve">соответствие требованиям к участникам, установленным пунктами 2.8-2.15 раздела </w:t>
            </w:r>
            <w:r>
              <w:rPr>
                <w:sz w:val="22"/>
                <w:szCs w:val="22"/>
              </w:rPr>
              <w:t>«Требования к участникам, документы и (или) сведения для проверки требований к участникам»,</w:t>
            </w:r>
            <w:r>
              <w:rPr>
                <w:rStyle w:val="word-wrapper"/>
                <w:sz w:val="22"/>
                <w:szCs w:val="22"/>
              </w:rPr>
              <w:t xml:space="preserve">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pStyle w:val="p-normal"/>
              <w:shd w:val="clear" w:color="auto" w:fill="FFFFFF"/>
              <w:spacing w:before="0" w:beforeAutospacing="0" w:after="0" w:afterAutospacing="0"/>
              <w:ind w:firstLine="709"/>
              <w:jc w:val="both"/>
              <w:rPr>
                <w:rStyle w:val="word-wrapper"/>
                <w:sz w:val="22"/>
                <w:szCs w:val="22"/>
              </w:rPr>
            </w:pPr>
            <w:r>
              <w:rPr>
                <w:rStyle w:val="word-wrapper"/>
                <w:sz w:val="22"/>
                <w:szCs w:val="22"/>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w:t>
            </w:r>
          </w:p>
          <w:p>
            <w:pPr>
              <w:pStyle w:val="p-normal"/>
              <w:shd w:val="clear" w:color="auto" w:fill="FFFFFF"/>
              <w:spacing w:before="0" w:beforeAutospacing="0" w:after="0" w:afterAutospacing="0"/>
              <w:ind w:firstLine="709"/>
              <w:jc w:val="both"/>
              <w:rPr>
                <w:rStyle w:val="word-wrapper"/>
                <w:sz w:val="22"/>
                <w:szCs w:val="22"/>
              </w:rPr>
            </w:pPr>
            <w:r>
              <w:rPr>
                <w:rStyle w:val="word-wrapper"/>
                <w:sz w:val="22"/>
                <w:szCs w:val="22"/>
                <w:shd w:val="clear" w:color="auto" w:fill="FFFFFF"/>
              </w:rPr>
              <w:t xml:space="preserve">при </w:t>
            </w:r>
            <w:r>
              <w:rPr>
                <w:rStyle w:val="word-wrapper"/>
                <w:sz w:val="22"/>
                <w:szCs w:val="22"/>
              </w:rPr>
              <w:t xml:space="preserve">проведении процедуры закупки из одного источника в случае направления организатором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 </w:t>
            </w:r>
          </w:p>
          <w:p>
            <w:pPr>
              <w:pStyle w:val="p-normal"/>
              <w:shd w:val="clear" w:color="auto" w:fill="FFFFFF"/>
              <w:spacing w:before="0" w:beforeAutospacing="0" w:after="0" w:afterAutospacing="0"/>
              <w:ind w:firstLine="709"/>
              <w:jc w:val="both"/>
              <w:rPr>
                <w:rStyle w:val="word-wrapper"/>
                <w:sz w:val="22"/>
                <w:szCs w:val="22"/>
              </w:rPr>
            </w:pPr>
            <w:r>
              <w:rPr>
                <w:rStyle w:val="word-wrapper"/>
                <w:sz w:val="22"/>
                <w:szCs w:val="22"/>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w:t>
            </w:r>
            <w:r>
              <w:rPr>
                <w:rStyle w:val="fake-non-breaking-space"/>
                <w:sz w:val="22"/>
                <w:szCs w:val="22"/>
              </w:rPr>
              <w:t> </w:t>
            </w:r>
            <w:r>
              <w:rPr>
                <w:rStyle w:val="word-wrapper"/>
                <w:sz w:val="22"/>
                <w:szCs w:val="22"/>
              </w:rPr>
              <w:t xml:space="preserve"> Закона Республики Беларусь от 13.07.2012 N 419-З "О государственных закупках товаров (работ, услуг)",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pPr>
              <w:pStyle w:val="p-normal"/>
              <w:shd w:val="clear" w:color="auto" w:fill="FFFFFF"/>
              <w:spacing w:before="0" w:beforeAutospacing="0" w:after="0" w:afterAutospacing="0"/>
              <w:jc w:val="both"/>
              <w:rPr>
                <w:b/>
                <w:sz w:val="22"/>
                <w:szCs w:val="22"/>
              </w:rPr>
            </w:pPr>
          </w:p>
        </w:tc>
      </w:tr>
      <w:tr>
        <w:tc>
          <w:tcPr>
            <w:tcW w:w="3134" w:type="dxa"/>
            <w:tcBorders>
              <w:top w:val="nil"/>
              <w:left w:val="single" w:sz="6" w:space="0" w:color="auto"/>
              <w:bottom w:val="single" w:sz="4"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Требование о предоставлении обеспечения исполнения обязательств по договору </w:t>
            </w:r>
          </w:p>
        </w:tc>
        <w:tc>
          <w:tcPr>
            <w:tcW w:w="6639" w:type="dxa"/>
            <w:tcBorders>
              <w:top w:val="nil"/>
              <w:left w:val="nil"/>
              <w:bottom w:val="single" w:sz="4" w:space="0" w:color="auto"/>
              <w:right w:val="single" w:sz="6"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Не требуется</w:t>
            </w:r>
          </w:p>
        </w:tc>
      </w:tr>
      <w:tr>
        <w:tc>
          <w:tcPr>
            <w:tcW w:w="3134" w:type="dxa"/>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действий заказчика в случае предложения одинаковых цен поставщиками (подрядчиками, исполнителями)</w:t>
            </w:r>
          </w:p>
        </w:tc>
        <w:tc>
          <w:tcPr>
            <w:tcW w:w="6639" w:type="dxa"/>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Если несколько потенциальных поставщиков предложили одинаковые цены, заказчик (организатор) обращается к ним с запросом о снижении предложенной цены. Если после получения ответов цены остаются равными, при прочих равных условиях предпочтение отдается поставщику, первым представившему ответ на запрос о снижении цены.</w:t>
            </w:r>
          </w:p>
        </w:tc>
      </w:tr>
      <w:tr>
        <w:tc>
          <w:tcPr>
            <w:tcW w:w="3134" w:type="dxa"/>
            <w:tcBorders>
              <w:top w:val="single" w:sz="4" w:space="0" w:color="auto"/>
              <w:left w:val="single" w:sz="4" w:space="0" w:color="auto"/>
              <w:bottom w:val="single" w:sz="4" w:space="0" w:color="auto"/>
              <w:right w:val="single" w:sz="4"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Договор</w:t>
            </w:r>
          </w:p>
        </w:tc>
        <w:tc>
          <w:tcPr>
            <w:tcW w:w="6639" w:type="dxa"/>
            <w:tcBorders>
              <w:top w:val="single" w:sz="4" w:space="0" w:color="auto"/>
              <w:left w:val="single" w:sz="4" w:space="0" w:color="auto"/>
              <w:bottom w:val="single" w:sz="4" w:space="0" w:color="auto"/>
              <w:right w:val="single" w:sz="4"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 Проекты договоров прилагаются к заявке на закупку.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w:t>
            </w:r>
          </w:p>
        </w:tc>
      </w:tr>
      <w:tr>
        <w:tc>
          <w:tcPr>
            <w:tcW w:w="3134" w:type="dxa"/>
            <w:tcBorders>
              <w:top w:val="single" w:sz="4" w:space="0" w:color="auto"/>
              <w:left w:val="single" w:sz="4" w:space="0" w:color="auto"/>
              <w:bottom w:val="single" w:sz="4" w:space="0" w:color="auto"/>
              <w:right w:val="single" w:sz="4" w:space="0" w:color="auto"/>
            </w:tcBorders>
          </w:tcPr>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Иные условия</w:t>
            </w:r>
          </w:p>
        </w:tc>
        <w:tc>
          <w:tcPr>
            <w:tcW w:w="6639" w:type="dxa"/>
            <w:tcBorders>
              <w:top w:val="single" w:sz="4" w:space="0" w:color="auto"/>
              <w:left w:val="single" w:sz="4" w:space="0" w:color="auto"/>
              <w:bottom w:val="single" w:sz="4" w:space="0" w:color="auto"/>
              <w:right w:val="single" w:sz="4" w:space="0" w:color="auto"/>
            </w:tcBorders>
          </w:tcPr>
          <w:p>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В случае необходимости более длительного срока для подготовки документов и (или) сведений потенциальный участник должен проинформировать организатора дополнительно.  </w:t>
            </w:r>
          </w:p>
          <w:p>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отсутствия ответа на запрос в указанный срок, комиссия переходит к рассмотрению позиции без вашего предложения.</w:t>
            </w:r>
          </w:p>
        </w:tc>
      </w:tr>
    </w:tbl>
    <w:p>
      <w:pPr>
        <w:tabs>
          <w:tab w:val="left" w:pos="426"/>
        </w:tabs>
        <w:spacing w:after="0" w:line="240" w:lineRule="auto"/>
        <w:jc w:val="both"/>
        <w:rPr>
          <w:rFonts w:ascii="Times New Roman" w:eastAsia="Times New Roman" w:hAnsi="Times New Roman" w:cs="Times New Roman"/>
          <w:sz w:val="28"/>
          <w:szCs w:val="28"/>
          <w:lang w:eastAsia="ru-RU"/>
        </w:rPr>
      </w:pPr>
    </w:p>
    <w:p>
      <w:pPr>
        <w:tabs>
          <w:tab w:val="left" w:pos="426"/>
        </w:tabs>
        <w:spacing w:after="0" w:line="240" w:lineRule="auto"/>
        <w:jc w:val="both"/>
        <w:rPr>
          <w:rFonts w:ascii="Times New Roman" w:eastAsia="Times New Roman" w:hAnsi="Times New Roman" w:cs="Times New Roman"/>
          <w:sz w:val="28"/>
          <w:szCs w:val="28"/>
          <w:lang w:eastAsia="ru-RU"/>
        </w:rPr>
      </w:pPr>
    </w:p>
    <w:p>
      <w:pPr>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Заместитель генерального директора- </w:t>
      </w:r>
    </w:p>
    <w:p>
      <w:pPr>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отдела маркетинга, </w:t>
      </w:r>
    </w:p>
    <w:p>
      <w:pPr>
        <w:tabs>
          <w:tab w:val="left" w:pos="426"/>
          <w:tab w:val="left" w:pos="680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ВЭД и тендерных закупок</w:t>
      </w: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Т.П.Трухан</w:t>
      </w:r>
      <w:proofErr w:type="spellEnd"/>
    </w:p>
    <w:p>
      <w:pPr>
        <w:tabs>
          <w:tab w:val="left" w:pos="426"/>
        </w:tabs>
        <w:spacing w:after="0" w:line="240" w:lineRule="auto"/>
        <w:jc w:val="both"/>
        <w:rPr>
          <w:rFonts w:ascii="Times New Roman" w:eastAsia="Times New Roman" w:hAnsi="Times New Roman" w:cs="Times New Roman"/>
          <w:sz w:val="28"/>
          <w:szCs w:val="28"/>
          <w:lang w:eastAsia="ru-RU"/>
        </w:rPr>
      </w:pPr>
    </w:p>
    <w:p>
      <w:pPr>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Провизор-маркетолог отдела </w:t>
      </w:r>
    </w:p>
    <w:p>
      <w:pPr>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маркетинга, ВЭД и тендерных </w:t>
      </w:r>
    </w:p>
    <w:p>
      <w:pPr>
        <w:tabs>
          <w:tab w:val="left" w:pos="426"/>
          <w:tab w:val="left" w:pos="680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закупок</w:t>
      </w:r>
      <w:r>
        <w:rPr>
          <w:rFonts w:ascii="Times New Roman" w:eastAsia="Times New Roman" w:hAnsi="Times New Roman" w:cs="Times New Roman"/>
          <w:sz w:val="28"/>
          <w:szCs w:val="28"/>
          <w:lang w:eastAsia="ru-RU"/>
        </w:rPr>
        <w:tab/>
        <w:t>О.А. Мельниченко</w:t>
      </w:r>
    </w:p>
    <w:p>
      <w:pPr>
        <w:spacing w:after="160" w:line="259" w:lineRule="auto"/>
        <w:rPr>
          <w:rFonts w:ascii="Times New Roman" w:eastAsia="Times New Roman" w:hAnsi="Times New Roman" w:cs="Times New Roman"/>
          <w:color w:val="000000"/>
          <w:sz w:val="28"/>
          <w:szCs w:val="28"/>
          <w:lang w:eastAsia="ru-RU"/>
        </w:rPr>
      </w:pPr>
      <w:r>
        <w:rPr>
          <w:rFonts w:ascii="Calibri" w:eastAsia="Calibri" w:hAnsi="Calibri" w:cs="Times New Roman"/>
          <w:color w:val="000000"/>
          <w:sz w:val="28"/>
          <w:szCs w:val="28"/>
        </w:rPr>
        <w:br w:type="page"/>
      </w:r>
    </w:p>
    <w:p>
      <w:pPr>
        <w:rPr>
          <w:rFonts w:ascii="Times New Roman" w:eastAsia="Times New Roman" w:hAnsi="Times New Roman" w:cs="Times New Roman"/>
          <w:sz w:val="28"/>
          <w:szCs w:val="28"/>
          <w:lang w:eastAsia="ru-RU"/>
        </w:rPr>
      </w:pPr>
    </w:p>
    <w:p>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3 </w:t>
      </w:r>
    </w:p>
    <w:p>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Заявление </w:t>
      </w:r>
    </w:p>
    <w:p>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(для нерезидентов Республики Беларусь)</w:t>
      </w:r>
    </w:p>
    <w:p>
      <w:pPr>
        <w:spacing w:after="160" w:line="259" w:lineRule="auto"/>
        <w:rPr>
          <w:rFonts w:ascii="Calibri" w:eastAsia="Calibri" w:hAnsi="Calibri" w:cs="Times New Roman"/>
          <w:sz w:val="28"/>
          <w:szCs w:val="28"/>
        </w:rPr>
      </w:pPr>
    </w:p>
    <w:p>
      <w:pPr>
        <w:keepNext/>
        <w:keepLines/>
        <w:spacing w:after="0" w:line="240" w:lineRule="auto"/>
        <w:ind w:firstLine="540"/>
        <w:jc w:val="both"/>
        <w:outlineLvl w:val="0"/>
        <w:rPr>
          <w:rFonts w:ascii="Times New Roman" w:eastAsia="Times New Roman" w:hAnsi="Times New Roman" w:cs="Times New Roman"/>
          <w:bCs/>
          <w:color w:val="2A3439"/>
          <w:sz w:val="28"/>
          <w:szCs w:val="28"/>
          <w:shd w:val="clear" w:color="auto" w:fill="FFFFFF"/>
        </w:rPr>
      </w:pPr>
      <w:r>
        <w:rPr>
          <w:rFonts w:ascii="Times New Roman" w:eastAsia="Times New Roman" w:hAnsi="Times New Roman" w:cs="Times New Roman"/>
          <w:bCs/>
          <w:color w:val="000000"/>
          <w:sz w:val="28"/>
          <w:szCs w:val="28"/>
        </w:rPr>
        <w:t>Участник _______________________________________________________ заявляет, что последняя отчетная дата, предшествующая дню заключения договора при проведении процедуры закупки из одного источника, —  ______________</w:t>
      </w:r>
      <w:r>
        <w:rPr>
          <w:rFonts w:ascii="Times New Roman" w:eastAsia="Times New Roman" w:hAnsi="Times New Roman" w:cs="Times New Roman"/>
          <w:bCs/>
          <w:color w:val="2A3439"/>
          <w:sz w:val="28"/>
          <w:szCs w:val="28"/>
          <w:shd w:val="clear" w:color="auto" w:fill="FFFFFF"/>
        </w:rPr>
        <w:t>.</w:t>
      </w:r>
    </w:p>
    <w:p>
      <w:pPr>
        <w:spacing w:after="160" w:line="259" w:lineRule="auto"/>
        <w:rPr>
          <w:rFonts w:ascii="Calibri" w:eastAsia="Calibri" w:hAnsi="Calibri" w:cs="Times New Roman"/>
          <w:bCs/>
          <w:color w:val="2A3439"/>
          <w:sz w:val="28"/>
          <w:szCs w:val="28"/>
          <w:shd w:val="clear" w:color="auto" w:fill="FFFFFF"/>
        </w:rPr>
      </w:pPr>
    </w:p>
    <w:p>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Приложение 4 </w:t>
      </w:r>
    </w:p>
    <w:p>
      <w:pPr>
        <w:spacing w:after="160" w:line="259" w:lineRule="auto"/>
        <w:rPr>
          <w:rFonts w:ascii="Calibri" w:eastAsia="Calibri" w:hAnsi="Calibri" w:cs="Times New Roman"/>
          <w:sz w:val="28"/>
          <w:szCs w:val="28"/>
        </w:rPr>
      </w:pPr>
    </w:p>
    <w:p>
      <w:pPr>
        <w:spacing w:after="160" w:line="259" w:lineRule="auto"/>
        <w:rPr>
          <w:rFonts w:ascii="Calibri" w:eastAsia="Calibri" w:hAnsi="Calibri" w:cs="Times New Roman"/>
          <w:sz w:val="28"/>
          <w:szCs w:val="28"/>
        </w:rPr>
      </w:pPr>
    </w:p>
    <w:p>
      <w:pPr>
        <w:spacing w:after="160" w:line="259" w:lineRule="auto"/>
        <w:rPr>
          <w:rFonts w:ascii="Calibri" w:eastAsia="Calibri" w:hAnsi="Calibri" w:cs="Times New Roman"/>
          <w:sz w:val="28"/>
          <w:szCs w:val="28"/>
        </w:rPr>
      </w:pPr>
    </w:p>
    <w:p>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Информация для подготовки договора/контракта</w:t>
      </w:r>
    </w:p>
    <w:p>
      <w:pPr>
        <w:tabs>
          <w:tab w:val="left" w:pos="990"/>
        </w:tabs>
        <w:spacing w:after="160" w:line="259" w:lineRule="auto"/>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tc>
          <w:tcPr>
            <w:tcW w:w="4672" w:type="dxa"/>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Наименование участника</w:t>
            </w:r>
          </w:p>
        </w:tc>
        <w:tc>
          <w:tcPr>
            <w:tcW w:w="4673" w:type="dxa"/>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rPr>
                <w:rFonts w:ascii="Times New Roman" w:eastAsia="Times New Roman" w:hAnsi="Times New Roman" w:cs="Times New Roman"/>
                <w:color w:val="000000"/>
                <w:sz w:val="28"/>
                <w:szCs w:val="28"/>
              </w:rPr>
            </w:pPr>
          </w:p>
        </w:tc>
      </w:tr>
      <w:tr>
        <w:tc>
          <w:tcPr>
            <w:tcW w:w="4672" w:type="dxa"/>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 должность подписанта (исключительно лицо, владеющее электронной цифровой подписью для подписания договора на электронной торговой площадке)</w:t>
            </w:r>
          </w:p>
        </w:tc>
        <w:tc>
          <w:tcPr>
            <w:tcW w:w="4673" w:type="dxa"/>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rPr>
                <w:rFonts w:ascii="Times New Roman" w:eastAsia="Times New Roman" w:hAnsi="Times New Roman" w:cs="Times New Roman"/>
                <w:color w:val="000000"/>
                <w:sz w:val="28"/>
                <w:szCs w:val="28"/>
              </w:rPr>
            </w:pPr>
          </w:p>
        </w:tc>
      </w:tr>
      <w:tr>
        <w:tc>
          <w:tcPr>
            <w:tcW w:w="4672" w:type="dxa"/>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основании какого документа действует подписант</w:t>
            </w:r>
          </w:p>
        </w:tc>
        <w:tc>
          <w:tcPr>
            <w:tcW w:w="4673" w:type="dxa"/>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rPr>
                <w:rFonts w:ascii="Times New Roman" w:eastAsia="Times New Roman" w:hAnsi="Times New Roman" w:cs="Times New Roman"/>
                <w:color w:val="000000"/>
                <w:sz w:val="28"/>
                <w:szCs w:val="28"/>
              </w:rPr>
            </w:pPr>
          </w:p>
        </w:tc>
      </w:tr>
      <w:tr>
        <w:tc>
          <w:tcPr>
            <w:tcW w:w="4672" w:type="dxa"/>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Юридический, почтовый адрес</w:t>
            </w:r>
          </w:p>
          <w:p>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Банковские реквизиты</w:t>
            </w:r>
          </w:p>
        </w:tc>
        <w:tc>
          <w:tcPr>
            <w:tcW w:w="4673" w:type="dxa"/>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rPr>
                <w:rFonts w:ascii="Times New Roman" w:eastAsia="Times New Roman" w:hAnsi="Times New Roman" w:cs="Times New Roman"/>
                <w:color w:val="000000"/>
                <w:sz w:val="28"/>
                <w:szCs w:val="28"/>
              </w:rPr>
            </w:pPr>
          </w:p>
        </w:tc>
      </w:tr>
    </w:tbl>
    <w:p>
      <w:pPr>
        <w:spacing w:after="160" w:line="259" w:lineRule="auto"/>
        <w:rPr>
          <w:rFonts w:ascii="Times New Roman" w:eastAsia="Calibri" w:hAnsi="Times New Roman" w:cs="Times New Roman"/>
          <w:sz w:val="28"/>
          <w:szCs w:val="28"/>
        </w:rPr>
      </w:pPr>
    </w:p>
    <w:p/>
    <w:p>
      <w:pPr>
        <w:tabs>
          <w:tab w:val="left" w:pos="426"/>
          <w:tab w:val="left" w:pos="6804"/>
        </w:tabs>
        <w:spacing w:after="0" w:line="240" w:lineRule="auto"/>
        <w:jc w:val="both"/>
        <w:rPr>
          <w:rFonts w:ascii="Times New Roman" w:eastAsia="Times New Roman" w:hAnsi="Times New Roman" w:cs="Times New Roman"/>
          <w:sz w:val="28"/>
          <w:szCs w:val="28"/>
          <w:lang w:eastAsia="ru-RU"/>
        </w:rPr>
      </w:pP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F46231"/>
    <w:multiLevelType w:val="hybridMultilevel"/>
    <w:tmpl w:val="768C3670"/>
    <w:lvl w:ilvl="0" w:tplc="E3721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ED77703"/>
    <w:multiLevelType w:val="hybridMultilevel"/>
    <w:tmpl w:val="EF44B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9F4789-6BF2-410B-872A-F804A4F1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paragraph" w:customStyle="1" w:styleId="1">
    <w:name w:val="Текст примечания1"/>
    <w:basedOn w:val="a"/>
    <w:next w:val="a4"/>
    <w:link w:val="a5"/>
    <w:uiPriority w:val="99"/>
    <w:semiHidden/>
    <w:unhideWhenUsed/>
    <w:pPr>
      <w:spacing w:after="160" w:line="240" w:lineRule="auto"/>
    </w:pPr>
    <w:rPr>
      <w:sz w:val="20"/>
      <w:szCs w:val="20"/>
    </w:rPr>
  </w:style>
  <w:style w:type="character" w:customStyle="1" w:styleId="a5">
    <w:name w:val="Текст примечания Знак"/>
    <w:basedOn w:val="a0"/>
    <w:link w:val="1"/>
    <w:uiPriority w:val="99"/>
    <w:semiHidden/>
    <w:rPr>
      <w:sz w:val="20"/>
      <w:szCs w:val="20"/>
    </w:rPr>
  </w:style>
  <w:style w:type="paragraph" w:styleId="a4">
    <w:name w:val="annotation text"/>
    <w:basedOn w:val="a"/>
    <w:link w:val="10"/>
    <w:uiPriority w:val="99"/>
    <w:semiHidden/>
    <w:unhideWhenUsed/>
    <w:pPr>
      <w:spacing w:line="240" w:lineRule="auto"/>
    </w:pPr>
    <w:rPr>
      <w:sz w:val="20"/>
      <w:szCs w:val="20"/>
    </w:rPr>
  </w:style>
  <w:style w:type="character" w:customStyle="1" w:styleId="10">
    <w:name w:val="Текст примечания Знак1"/>
    <w:basedOn w:val="a0"/>
    <w:link w:val="a4"/>
    <w:uiPriority w:val="99"/>
    <w:semiHidden/>
    <w:rPr>
      <w:sz w:val="20"/>
      <w:szCs w:val="20"/>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rPr>
  </w:style>
  <w:style w:type="character" w:styleId="a8">
    <w:name w:val="Hyperlink"/>
    <w:uiPriority w:val="99"/>
    <w:semiHidden/>
    <w:unhideWhenUsed/>
    <w:rPr>
      <w:color w:val="0000FF"/>
      <w:u w:val="single"/>
    </w:rPr>
  </w:style>
  <w:style w:type="paragraph" w:customStyle="1" w:styleId="ConsPlusNormal">
    <w:name w:val="ConsPlusNormal"/>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p-normal">
    <w:name w:val="p-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wrapper">
    <w:name w:val="word-wrapper"/>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ake-non-breaking-space">
    <w:name w:val="fake-non-breaking-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CF2CA347A473E7528885048A22EB4569C6C8733151A8FD6DB3077FAF641F75B05220C2CEF313DAEA7F15A6E3BY4W9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A9B9A-3F23-4B86-9DE8-04F0CA81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14</Pages>
  <Words>5184</Words>
  <Characters>29552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Полещук Анна Марьяновна</dc:creator>
  <cp:lastModifiedBy>Мельниченко О.А.</cp:lastModifiedBy>
  <cp:revision>28</cp:revision>
  <dcterms:created xsi:type="dcterms:W3CDTF">2025-08-27T19:48:00Z</dcterms:created>
  <dcterms:modified xsi:type="dcterms:W3CDTF">2026-09-14T07:18:00Z</dcterms:modified>
</cp:coreProperties>
</file>