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8"/>
        <w:ind w:right="24"/>
        <w:jc w:val="center"/>
      </w:pPr>
      <w:r>
        <w:rPr>
          <w:rStyle w:val="636"/>
        </w:rPr>
        <w:t xml:space="preserve">ЗАДАНИЕ НА ЗАКУПКУ</w:t>
      </w:r>
      <w:r/>
    </w:p>
    <w:p>
      <w:pPr>
        <w:pStyle w:val="638"/>
        <w:ind w:right="24"/>
        <w:jc w:val="center"/>
        <w:spacing w:after="260"/>
      </w:pPr>
      <w:r>
        <w:rPr>
          <w:rStyle w:val="636"/>
        </w:rPr>
        <w:t xml:space="preserve">ТОВАРОВ (РАБОТ, УСЛУГ) ПРИ ПРОВЕДЕНИИ КОНКУРСА </w:t>
      </w:r>
      <w:r/>
    </w:p>
    <w:p>
      <w:pPr>
        <w:pStyle w:val="639"/>
        <w:numPr>
          <w:ilvl w:val="0"/>
          <w:numId w:val="1"/>
        </w:numPr>
        <w:ind w:right="24"/>
        <w:jc w:val="both"/>
        <w:tabs>
          <w:tab w:val="left" w:pos="369" w:leader="none"/>
        </w:tabs>
      </w:pPr>
      <w:r/>
      <w:bookmarkStart w:id="0" w:name="bookmark0"/>
      <w:r>
        <w:rPr>
          <w:rStyle w:val="637"/>
          <w:b/>
          <w:bCs/>
        </w:rPr>
        <w:t xml:space="preserve">Сведения о Заказчике:</w:t>
      </w:r>
      <w:bookmarkEnd w:id="0"/>
      <w:r/>
      <w:r/>
    </w:p>
    <w:p>
      <w:pPr>
        <w:pStyle w:val="638"/>
        <w:ind w:right="24"/>
        <w:jc w:val="both"/>
      </w:pPr>
      <w:r>
        <w:rPr>
          <w:lang w:val="ru-RU"/>
        </w:rPr>
        <w:t xml:space="preserve">Государственное предприятие "ЭКСПЕРИМЕНТАЛЬНЫЙ ЗАВОД" РУП "НАУЧНО-ПРАКТИЧЕСКИЙ ЦЕНТР НАЦИОНАЛЬНОЙ АКАДЕМИИ НАУК БЕЛАРУСИ ПО МЕХАНИЗАЦИИ СЕЛЬСКОГО ХОЗЯЙСТВА"</w:t>
      </w:r>
      <w:r>
        <w:rPr>
          <w:lang w:val="en-US"/>
        </w:rPr>
        <w:t xml:space="preserve"> (</w:t>
      </w:r>
      <w:r>
        <w:t xml:space="preserve">далее -Заказчик)</w:t>
      </w:r>
      <w:r/>
    </w:p>
    <w:p>
      <w:pPr>
        <w:pStyle w:val="638"/>
        <w:ind w:right="24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38"/>
        <w:ind w:right="24"/>
        <w:jc w:val="both"/>
      </w:pPr>
      <w:r>
        <w:rPr>
          <w:rStyle w:val="636"/>
        </w:rPr>
        <w:t xml:space="preserve">Учетный номер плательщика: </w:t>
      </w:r>
      <w:r>
        <w:rPr>
          <w:rStyle w:val="636"/>
        </w:rPr>
        <w:t xml:space="preserve">100230141</w:t>
      </w:r>
      <w:r/>
    </w:p>
    <w:p>
      <w:pPr>
        <w:pStyle w:val="638"/>
        <w:ind w:right="24"/>
        <w:jc w:val="both"/>
      </w:pPr>
      <w:r>
        <w:rPr>
          <w:rStyle w:val="636"/>
        </w:rPr>
        <w:t xml:space="preserve">Сфера деятельности заказчика согласно разделу или секции общегосударственного</w:t>
      </w:r>
      <w:r>
        <w:rPr>
          <w:rStyle w:val="636"/>
        </w:rPr>
        <w:br/>
        <w:t xml:space="preserve">классификатора Республики Беларусь ОКРБ 005-2011 «Виды экономической</w:t>
      </w:r>
      <w:r>
        <w:rPr>
          <w:rStyle w:val="636"/>
        </w:rPr>
        <w:br/>
        <w:t xml:space="preserve">деятельности»,</w:t>
      </w:r>
      <w:r>
        <w:rPr>
          <w:rStyle w:val="636"/>
        </w:rPr>
        <w:t xml:space="preserve"> </w:t>
      </w:r>
      <w:r>
        <w:rPr>
          <w:rStyle w:val="636"/>
        </w:rPr>
        <w:t xml:space="preserve">утвержденного постановлением Государственного комитета по</w:t>
      </w:r>
      <w:r>
        <w:rPr>
          <w:rStyle w:val="636"/>
        </w:rPr>
        <w:br/>
        <w:t xml:space="preserve">стандартизации Республики Беларусь от 05.12.2011 № 85, к которому относится основной</w:t>
      </w:r>
      <w:r>
        <w:rPr>
          <w:rStyle w:val="636"/>
        </w:rPr>
        <w:br/>
        <w:t xml:space="preserve">вид деятельности заказчика: </w:t>
      </w:r>
      <w:r>
        <w:rPr>
          <w:lang w:bidi="ru-RU"/>
        </w:rPr>
        <w:t xml:space="preserve">производство прочих машин и оборудования для сельского и лесного хозяйства (код ОКЭД 28309)</w:t>
      </w:r>
      <w:r/>
    </w:p>
    <w:p>
      <w:pPr>
        <w:pStyle w:val="638"/>
        <w:ind w:right="24"/>
        <w:jc w:val="both"/>
        <w:rPr>
          <w:rStyle w:val="636"/>
        </w:rPr>
      </w:pPr>
      <w:r>
        <w:rPr>
          <w:rStyle w:val="636"/>
        </w:rPr>
        <w:t xml:space="preserve">Ведется внешнеэкономическая деятельность.</w:t>
      </w:r>
      <w:r>
        <w:rPr>
          <w:rStyle w:val="636"/>
        </w:rPr>
      </w:r>
    </w:p>
    <w:p>
      <w:pPr>
        <w:pStyle w:val="638"/>
        <w:ind w:right="24"/>
        <w:jc w:val="both"/>
        <w:rPr>
          <w:lang w:val="ru-RU"/>
        </w:rPr>
      </w:pPr>
      <w:r>
        <w:rPr>
          <w:lang w:val="ru-RU"/>
        </w:rPr>
        <w:t xml:space="preserve">Общая численность работников заказчика: </w:t>
      </w:r>
      <w:r>
        <w:t xml:space="preserve">104</w:t>
      </w:r>
      <w:r>
        <w:rPr>
          <w:lang w:val="ru-RU"/>
        </w:rPr>
        <w:t xml:space="preserve"> человека, из них численность</w:t>
      </w:r>
      <w:r>
        <w:t xml:space="preserve"> </w:t>
      </w:r>
      <w:r>
        <w:rPr>
          <w:lang w:val="ru-RU"/>
        </w:rPr>
        <w:t xml:space="preserve">бухгалтерской и финансовой служб составляет </w:t>
      </w:r>
      <w:r>
        <w:t xml:space="preserve">7</w:t>
      </w:r>
      <w:r>
        <w:rPr>
          <w:lang w:val="ru-RU"/>
        </w:rPr>
        <w:t xml:space="preserve"> человек.</w:t>
      </w:r>
      <w:r>
        <w:rPr>
          <w:lang w:val="ru-RU"/>
        </w:rPr>
      </w:r>
    </w:p>
    <w:p>
      <w:pPr>
        <w:pStyle w:val="638"/>
        <w:ind w:right="24"/>
        <w:jc w:val="both"/>
      </w:pPr>
      <w:r>
        <w:rPr>
          <w:lang w:val="ru-RU"/>
        </w:rPr>
        <w:t xml:space="preserve">Заказчик использует для подготовки отчетности 1С Предприятие </w:t>
      </w:r>
      <w:r>
        <w:t xml:space="preserve">8.3</w:t>
      </w:r>
      <w:r>
        <w:t xml:space="preserve"> Хьюмен.</w:t>
      </w:r>
      <w:r/>
    </w:p>
    <w:p>
      <w:pPr>
        <w:pStyle w:val="638"/>
        <w:ind w:right="24"/>
        <w:jc w:val="both"/>
        <w:rPr>
          <w:lang w:val="ru-RU"/>
        </w:rPr>
      </w:pPr>
      <w:r>
        <w:rPr>
          <w:lang w:val="ru-RU"/>
        </w:rPr>
        <w:t xml:space="preserve">Контактные лица:</w:t>
      </w:r>
      <w:r>
        <w:rPr>
          <w:lang w:val="ru-RU"/>
        </w:rPr>
      </w:r>
    </w:p>
    <w:p>
      <w:pPr>
        <w:pStyle w:val="638"/>
        <w:ind w:right="24"/>
        <w:jc w:val="both"/>
        <w:rPr>
          <w:lang w:val="ru-RU"/>
        </w:rPr>
      </w:pPr>
      <w:r>
        <w:rPr>
          <w:lang w:val="ru-RU"/>
        </w:rPr>
        <w:t xml:space="preserve">по вопросам </w:t>
      </w:r>
      <w:r>
        <w:t xml:space="preserve">о</w:t>
      </w:r>
      <w:r>
        <w:rPr>
          <w:lang w:val="ru-RU"/>
        </w:rPr>
        <w:t xml:space="preserve">рганизации и проведения закупки: </w:t>
      </w:r>
      <w:r>
        <w:t xml:space="preserve">Гапанович Надежда Сергеевна</w:t>
      </w:r>
      <w:r>
        <w:rPr>
          <w:lang w:val="ru-RU"/>
        </w:rPr>
        <w:t xml:space="preserve">, тел. </w:t>
      </w:r>
      <w:r>
        <w:t xml:space="preserve">+375 29 156-58-46</w:t>
      </w:r>
      <w:r>
        <w:rPr>
          <w:lang w:val="ru-RU"/>
        </w:rPr>
        <w:t xml:space="preserve">,</w:t>
      </w:r>
      <w:r>
        <w:t xml:space="preserve"> </w:t>
      </w:r>
      <w:r>
        <w:rPr>
          <w:lang w:val="en-US"/>
        </w:rPr>
        <w:t xml:space="preserve">e-mail</w:t>
      </w:r>
      <w:r>
        <w:t xml:space="preserve">: </w:t>
      </w:r>
      <w:r>
        <w:rPr>
          <w:lang w:val="en-US"/>
        </w:rPr>
        <w:t xml:space="preserve">zakupki@eznan.by</w:t>
      </w:r>
      <w:r>
        <w:rPr>
          <w:lang w:val="en-US"/>
        </w:rPr>
        <w:t xml:space="preserve">;</w:t>
      </w:r>
      <w:r>
        <w:rPr>
          <w:lang w:val="ru-RU"/>
        </w:rPr>
      </w:r>
    </w:p>
    <w:p>
      <w:pPr>
        <w:pStyle w:val="638"/>
        <w:ind w:right="24"/>
        <w:jc w:val="both"/>
        <w:rPr>
          <w:color w:val="000000"/>
          <w:lang w:val="ru-RU" w:eastAsia="ru-RU"/>
        </w:rPr>
      </w:pPr>
      <w:r>
        <w:rPr>
          <w:lang w:val="ru-RU"/>
        </w:rPr>
        <w:t xml:space="preserve">по вопросам предмета закупки: </w:t>
      </w:r>
      <w:r>
        <w:t xml:space="preserve">Вареничева Татьяна Геннадьевна</w:t>
      </w:r>
      <w:r>
        <w:rPr>
          <w:lang w:val="ru-RU"/>
        </w:rPr>
        <w:t xml:space="preserve">, тел. 8 </w:t>
      </w:r>
      <w:r>
        <w:t xml:space="preserve">017 272-05-63, </w:t>
      </w:r>
      <w:r>
        <w:rPr>
          <w:lang w:val="en-US"/>
        </w:rPr>
        <w:t xml:space="preserve">e-mail</w:t>
      </w:r>
      <w:r>
        <w:t xml:space="preserve">: </w:t>
      </w:r>
      <w:hyperlink r:id="rId9" w:tooltip="mailto:buh@eznan.by" w:history="1">
        <w:r>
          <w:rPr>
            <w:rStyle w:val="640"/>
            <w:lang w:val="en-US"/>
          </w:rPr>
          <w:t xml:space="preserve">buh</w:t>
        </w:r>
        <w:r>
          <w:rPr>
            <w:rStyle w:val="640"/>
            <w:lang w:val="en-US"/>
          </w:rPr>
          <w:t xml:space="preserve">@</w:t>
        </w:r>
        <w:r>
          <w:rPr>
            <w:rStyle w:val="640"/>
            <w:lang w:val="en-US"/>
          </w:rPr>
          <w:t xml:space="preserve">eznan.</w:t>
        </w:r>
        <w:r>
          <w:rPr>
            <w:rStyle w:val="640"/>
            <w:lang w:val="en-US"/>
          </w:rPr>
          <w:t xml:space="preserve">by</w:t>
        </w:r>
      </w:hyperlink>
      <w:r>
        <w:rPr>
          <w:color w:val="000000"/>
          <w:lang w:val="en-US"/>
        </w:rPr>
        <w:t xml:space="preserve">.</w:t>
      </w:r>
      <w:r>
        <w:rPr>
          <w:color w:val="000000"/>
          <w:lang w:val="ru-RU" w:eastAsia="ru-RU"/>
        </w:rPr>
      </w:r>
    </w:p>
    <w:p>
      <w:pPr>
        <w:numPr>
          <w:ilvl w:val="0"/>
          <w:numId w:val="1"/>
        </w:numPr>
        <w:ind w:left="10" w:right="10" w:firstLine="0"/>
        <w:widowControl w:val="off"/>
        <w:tabs>
          <w:tab w:val="left" w:pos="379" w:leader="none"/>
        </w:tabs>
        <w:rPr>
          <w:rFonts w:ascii="Times New Roman" w:hAnsi="Times New Roman" w:eastAsia="Times New Roman" w:cs="Times New Roman"/>
          <w:b/>
          <w:bCs/>
          <w:color w:val="000000"/>
          <w:lang w:val="ru-RU" w:eastAsia="ru-RU"/>
        </w:rPr>
        <w:outlineLvl w:val="0"/>
      </w:pPr>
      <w:r/>
      <w:bookmarkStart w:id="1" w:name="bookmark2"/>
      <w:r>
        <w:rPr>
          <w:rFonts w:ascii="Times New Roman" w:hAnsi="Times New Roman" w:eastAsia="Times New Roman" w:cs="Times New Roman"/>
          <w:b/>
          <w:bCs/>
          <w:color w:val="000000"/>
          <w:lang w:val="ru-RU" w:eastAsia="ru-RU"/>
        </w:rPr>
        <w:t xml:space="preserve">Описание предмета закупки:</w:t>
      </w:r>
      <w:bookmarkEnd w:id="1"/>
      <w:r/>
      <w:r>
        <w:rPr>
          <w:rFonts w:ascii="Times New Roman" w:hAnsi="Times New Roman" w:eastAsia="Times New Roman" w:cs="Times New Roman"/>
          <w:b/>
          <w:bCs/>
          <w:color w:val="000000"/>
          <w:lang w:val="ru-RU" w:eastAsia="ru-RU"/>
        </w:rPr>
      </w:r>
    </w:p>
    <w:p>
      <w:pPr>
        <w:numPr>
          <w:ilvl w:val="1"/>
          <w:numId w:val="1"/>
        </w:numPr>
        <w:ind w:left="10" w:right="10" w:firstLine="0"/>
        <w:widowControl w:val="off"/>
        <w:tabs>
          <w:tab w:val="left" w:pos="520" w:leader="none"/>
        </w:tabs>
        <w:rPr>
          <w:rFonts w:ascii="Times New Roman" w:hAnsi="Times New Roman" w:eastAsia="Times New Roman" w:cs="Times New Roman"/>
          <w:color w:val="000000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Аудиторские услуги по проведению обязательного аудита годовой бухгалтерской отчетности Заказчика за 2026 год, составленной в соответствии с законодательством Республики Беларусь (далее — аудиторские услуги, аудит), в соответствии с </w:t>
      </w:r>
      <w:r>
        <w:rPr>
          <w:rFonts w:ascii="Times New Roman" w:hAnsi="Times New Roman" w:eastAsia="Times New Roman" w:cs="Times New Roman"/>
          <w:b/>
          <w:bCs/>
          <w:color w:val="000000"/>
          <w:lang w:eastAsia="ru-RU"/>
        </w:rPr>
        <w:t xml:space="preserve">Постановлением Совета Министров Республики Беларусь от 12 декабря 2024 г. № 937 «О порядке проведения обязательного аудита годовой бухгалтерской отчетности»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с предоставлением аудиторского заключения в трех экземплярах на бумажном носителе;</w:t>
      </w:r>
      <w:r>
        <w:rPr>
          <w:rFonts w:ascii="Times New Roman" w:hAnsi="Times New Roman" w:eastAsia="Times New Roman" w:cs="Times New Roman"/>
          <w:color w:val="000000"/>
          <w:lang w:val="ru-RU" w:eastAsia="ru-RU"/>
        </w:rPr>
      </w:r>
    </w:p>
    <w:p>
      <w:pPr>
        <w:numPr>
          <w:ilvl w:val="1"/>
          <w:numId w:val="1"/>
        </w:numPr>
        <w:ind w:left="10" w:right="10" w:firstLine="0"/>
        <w:widowControl w:val="off"/>
        <w:tabs>
          <w:tab w:val="left" w:pos="516" w:leader="none"/>
        </w:tabs>
        <w:rPr>
          <w:rFonts w:ascii="Times New Roman" w:hAnsi="Times New Roman" w:eastAsia="Times New Roman" w:cs="Times New Roman"/>
          <w:color w:val="000000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lang w:eastAsia="ru-RU"/>
        </w:rPr>
        <w:t xml:space="preserve">Код ОКРБ 007-2012: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69.20.10.000 «Услуга по проведению финансовой ревизии (аудита)»</w:t>
      </w:r>
      <w:r>
        <w:rPr>
          <w:rFonts w:ascii="Times New Roman" w:hAnsi="Times New Roman" w:eastAsia="Times New Roman" w:cs="Times New Roman"/>
          <w:color w:val="000000"/>
          <w:lang w:val="ru-RU" w:eastAsia="ru-RU"/>
        </w:rPr>
        <w:t xml:space="preserve">;</w:t>
      </w:r>
      <w:r>
        <w:rPr>
          <w:rFonts w:ascii="Times New Roman" w:hAnsi="Times New Roman" w:eastAsia="Times New Roman" w:cs="Times New Roman"/>
          <w:color w:val="000000"/>
          <w:lang w:val="ru-RU" w:eastAsia="ru-RU"/>
        </w:rPr>
      </w:r>
    </w:p>
    <w:p>
      <w:pPr>
        <w:numPr>
          <w:ilvl w:val="1"/>
          <w:numId w:val="1"/>
        </w:numPr>
        <w:ind w:left="10" w:right="10" w:firstLine="0"/>
        <w:widowControl w:val="off"/>
        <w:tabs>
          <w:tab w:val="left" w:pos="520" w:leader="none"/>
        </w:tabs>
        <w:rPr>
          <w:rFonts w:ascii="Times New Roman" w:hAnsi="Times New Roman" w:eastAsia="Times New Roman" w:cs="Times New Roman"/>
          <w:color w:val="000000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lang w:val="ru-RU" w:eastAsia="ru-RU"/>
        </w:rPr>
        <w:t xml:space="preserve">Объем услуги:</w:t>
      </w:r>
      <w:r>
        <w:rPr>
          <w:rFonts w:ascii="Times New Roman" w:hAnsi="Times New Roman" w:eastAsia="Times New Roman" w:cs="Times New Roman"/>
          <w:color w:val="000000"/>
          <w:lang w:val="ru-RU" w:eastAsia="ru-RU"/>
        </w:rPr>
        <w:t xml:space="preserve"> аудиторская услуга по проведению обязательного аудита годовой бухгалтерской отчетности, составленной в соответствии с законодательством Республики Беларусь. Одна услуга в два этапа. Проверяемый период с 01.01.2026 по 31.</w:t>
      </w:r>
      <w:r>
        <w:rPr>
          <w:rFonts w:ascii="Times New Roman" w:hAnsi="Times New Roman" w:eastAsia="Times New Roman" w:cs="Times New Roman"/>
          <w:color w:val="000000"/>
          <w:lang w:val="ru-RU" w:eastAsia="ru-RU"/>
        </w:rPr>
        <w:t xml:space="preserve">12.2026. Объем оказания услуг определяется участником самостоятельно в соответствии с требованиями законодательства и Национальных правил аудиторской деятельности, но не может составлять менее 20 человеко-дней, из них не менее 85% — на территории Заказчика</w:t>
      </w:r>
      <w:r>
        <w:rPr>
          <w:rFonts w:ascii="Times New Roman" w:hAnsi="Times New Roman" w:eastAsia="Times New Roman" w:cs="Times New Roman"/>
          <w:color w:val="000000"/>
          <w:lang w:val="ru-RU"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lang w:val="ru-RU" w:eastAsia="ru-RU"/>
        </w:rPr>
      </w:r>
    </w:p>
    <w:p>
      <w:pPr>
        <w:numPr>
          <w:ilvl w:val="1"/>
          <w:numId w:val="1"/>
        </w:numPr>
        <w:ind w:left="10" w:right="10" w:firstLine="0"/>
        <w:widowControl w:val="off"/>
        <w:tabs>
          <w:tab w:val="left" w:pos="511" w:leader="none"/>
        </w:tabs>
        <w:rPr>
          <w:rFonts w:ascii="Times New Roman" w:hAnsi="Times New Roman" w:eastAsia="Times New Roman" w:cs="Times New Roman"/>
          <w:b/>
          <w:bCs/>
          <w:color w:val="000000"/>
          <w:lang w:val="ru-RU" w:eastAsia="ru-RU"/>
        </w:rPr>
        <w:outlineLvl w:val="0"/>
      </w:pPr>
      <w:r/>
      <w:bookmarkStart w:id="2" w:name="bookmark4"/>
      <w:r>
        <w:rPr>
          <w:rFonts w:ascii="Times New Roman" w:hAnsi="Times New Roman" w:eastAsia="Times New Roman" w:cs="Times New Roman"/>
          <w:b/>
          <w:bCs/>
          <w:color w:val="000000"/>
          <w:lang w:val="ru-RU" w:eastAsia="ru-RU"/>
        </w:rPr>
        <w:t xml:space="preserve">Срок оказания услуг:</w:t>
      </w:r>
      <w:bookmarkEnd w:id="2"/>
      <w:r/>
      <w:r>
        <w:rPr>
          <w:rFonts w:ascii="Times New Roman" w:hAnsi="Times New Roman" w:eastAsia="Times New Roman" w:cs="Times New Roman"/>
          <w:b/>
          <w:bCs/>
          <w:color w:val="000000"/>
          <w:lang w:val="ru-RU" w:eastAsia="ru-RU"/>
        </w:rPr>
      </w:r>
    </w:p>
    <w:p>
      <w:pPr>
        <w:pStyle w:val="638"/>
        <w:ind w:right="24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1-й этап (промежуточный аудит за период с 01.01.2026 по 30.09.2026) — в срок по </w:t>
      </w:r>
      <w:r>
        <w:rPr>
          <w:color w:val="000000"/>
          <w:lang w:eastAsia="ru-RU"/>
        </w:rPr>
        <w:t xml:space="preserve">11</w:t>
      </w:r>
      <w:r>
        <w:rPr>
          <w:color w:val="000000"/>
          <w:lang w:val="ru-RU" w:eastAsia="ru-RU"/>
        </w:rPr>
        <w:t xml:space="preserve">.12.2026;</w:t>
      </w:r>
      <w:r>
        <w:rPr>
          <w:color w:val="000000"/>
          <w:lang w:val="ru-RU" w:eastAsia="ru-RU"/>
        </w:rPr>
      </w:r>
    </w:p>
    <w:p>
      <w:pPr>
        <w:pStyle w:val="638"/>
        <w:ind w:right="24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2-й этап (финальный аудит за период с 01.10.2026 по 31.12.2026) — в срок по 22.02.2027.</w:t>
      </w:r>
      <w:r>
        <w:rPr>
          <w:color w:val="000000"/>
          <w:lang w:val="ru-RU" w:eastAsia="ru-RU"/>
        </w:rPr>
      </w:r>
    </w:p>
    <w:p>
      <w:pPr>
        <w:pStyle w:val="638"/>
        <w:ind w:right="24" w:firstLine="720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Окончательный срок п</w:t>
      </w:r>
      <w:r>
        <w:rPr>
          <w:color w:val="000000"/>
          <w:lang w:val="ru-RU" w:eastAsia="ru-RU"/>
        </w:rPr>
        <w:t xml:space="preserve">редоставления аудиторского заключения — не позднее 26.02.2027, но в любом случае не позднее 5 (пяти) рабочих дней с момента предоставления Заказчиком подписанной годовой бухгалтерской отчетности в полном объеме и письменных заявлений руководства Заказчика.</w:t>
      </w:r>
      <w:r>
        <w:rPr>
          <w:color w:val="000000"/>
          <w:lang w:val="ru-RU" w:eastAsia="ru-RU"/>
        </w:rPr>
      </w:r>
    </w:p>
    <w:p>
      <w:pPr>
        <w:pStyle w:val="638"/>
        <w:numPr>
          <w:ilvl w:val="1"/>
          <w:numId w:val="1"/>
        </w:numPr>
        <w:ind w:right="24"/>
        <w:jc w:val="both"/>
        <w:rPr>
          <w:lang w:val="ru-RU"/>
        </w:rPr>
      </w:pPr>
      <w:r>
        <w:rPr>
          <w:b/>
          <w:bCs/>
          <w:lang w:val="ru-RU"/>
        </w:rPr>
        <w:t xml:space="preserve">Место оказания услуги: </w:t>
      </w:r>
      <w:r>
        <w:t xml:space="preserve">Место нахождения Заказчика — Республика Беларусь, 220049, г. Минск, ул. Кнорина, д. 1а.</w:t>
      </w:r>
      <w:r>
        <w:rPr>
          <w:lang w:val="ru-RU"/>
        </w:rPr>
      </w:r>
    </w:p>
    <w:p>
      <w:pPr>
        <w:pStyle w:val="638"/>
        <w:numPr>
          <w:ilvl w:val="1"/>
          <w:numId w:val="1"/>
        </w:numPr>
        <w:ind w:right="24"/>
        <w:jc w:val="both"/>
        <w:rPr>
          <w:lang w:val="ru-RU"/>
        </w:rPr>
      </w:pPr>
      <w:r>
        <w:rPr>
          <w:b/>
          <w:bCs/>
          <w:lang w:val="ru-RU"/>
        </w:rPr>
        <w:t xml:space="preserve">Результат закупаемой услуги: </w:t>
      </w:r>
      <w:r>
        <w:t xml:space="preserve">аудиторское</w:t>
      </w:r>
      <w:r>
        <w:rPr>
          <w:lang w:val="ru-RU"/>
        </w:rPr>
        <w:t xml:space="preserve"> заключение по годовой бухгалтерской отчетности организации в целом, составленное в соответствии с требованиями Закона Республики Беларусь от 12.07.2013 № 56-З «Об аудиторской деятельности».</w:t>
      </w:r>
      <w:r>
        <w:rPr>
          <w:lang w:val="ru-RU"/>
        </w:rPr>
      </w:r>
    </w:p>
    <w:p>
      <w:pPr>
        <w:pStyle w:val="638"/>
        <w:ind w:right="24"/>
        <w:jc w:val="both"/>
      </w:pPr>
      <w:r>
        <w:rPr>
          <w:b/>
          <w:bCs/>
        </w:rPr>
        <w:t xml:space="preserve">2.7.</w:t>
      </w:r>
      <w:r>
        <w:tab/>
      </w:r>
      <w:r>
        <w:rPr>
          <w:b/>
          <w:bCs/>
        </w:rPr>
        <w:t xml:space="preserve">Требования </w:t>
      </w:r>
      <w:r>
        <w:rPr>
          <w:b/>
          <w:bCs/>
        </w:rPr>
        <w:t xml:space="preserve">к </w:t>
      </w:r>
      <w:r>
        <w:rPr>
          <w:b/>
          <w:bCs/>
        </w:rPr>
        <w:t xml:space="preserve">качеству закупаемых услуг:</w:t>
      </w:r>
      <w:r>
        <w:t xml:space="preserve"> </w:t>
      </w:r>
      <w:r>
        <w:t xml:space="preserve">оказание</w:t>
      </w:r>
      <w:r>
        <w:t xml:space="preserve"> аудиторских услуг должно быть осуществлено в соответствии с требованиями законодательства Республики Беларусь, включая На</w:t>
      </w:r>
      <w:r>
        <w:t xml:space="preserve">циональные правила аудиторской деятельности. Исполнитель обязан соблюдать основные принципы аудиторской деятельности: независимость, конфиденциальность, честность, объективность, профессиональную компетентность и должное тщание, профессиональное поведение.</w:t>
      </w:r>
      <w:r/>
    </w:p>
    <w:p>
      <w:pPr>
        <w:pStyle w:val="638"/>
        <w:ind w:right="24"/>
        <w:jc w:val="both"/>
      </w:pPr>
      <w:r>
        <w:rPr>
          <w:b/>
          <w:bCs/>
        </w:rPr>
        <w:t xml:space="preserve">2.8.</w:t>
      </w:r>
      <w:r>
        <w:rPr>
          <w:b/>
          <w:bCs/>
        </w:rPr>
        <w:tab/>
        <w:t xml:space="preserve">Требования к результату закупаемых услуг</w:t>
      </w:r>
      <w:r>
        <w:rPr>
          <w:b/>
          <w:bCs/>
        </w:rPr>
        <w:t xml:space="preserve">:</w:t>
      </w:r>
      <w:r>
        <w:t xml:space="preserve"> </w:t>
      </w:r>
      <w:r>
        <w:t xml:space="preserve">Форма и содержание аудиторского заключения должны строго соответствовать требованиям Национальных правил аудиторской</w:t>
      </w:r>
      <w:r>
        <w:rPr>
          <w:b/>
          <w:bCs/>
        </w:rPr>
        <w:t xml:space="preserve"> </w:t>
      </w:r>
      <w:r>
        <w:t xml:space="preserve">деятельности «Аудиторское заключение по бухгалтерской отчетности».</w:t>
      </w:r>
      <w:r/>
    </w:p>
    <w:p>
      <w:pPr>
        <w:pStyle w:val="638"/>
        <w:ind w:right="24" w:firstLine="720"/>
        <w:jc w:val="both"/>
        <w:rPr>
          <w:b/>
          <w:bCs/>
        </w:rPr>
      </w:pPr>
      <w:r>
        <w:t xml:space="preserve">Исполнитель обязан в ходе аудита информировать руководство Заказчика о выявленных нарушениях законодательства, ошибках в ведении учета и составлении отчетности, а также</w:t>
      </w:r>
      <w:r>
        <w:t xml:space="preserve"> предоставить письменные рекомендации по их устранению. Письменная информация (отчет) предоставляется Заказчику по результатам каждого этапа аудита в соответствии с Национальными правилами аудиторской деятельности «Сообщение информации по вопросам аудита».</w:t>
      </w:r>
      <w:r>
        <w:rPr>
          <w:b/>
          <w:bCs/>
        </w:rPr>
      </w:r>
    </w:p>
    <w:p>
      <w:pPr>
        <w:pStyle w:val="638"/>
        <w:ind w:right="24"/>
        <w:jc w:val="both"/>
      </w:pPr>
      <w:r>
        <w:rPr>
          <w:b/>
          <w:bCs/>
        </w:rPr>
        <w:t xml:space="preserve">3.</w:t>
      </w:r>
      <w:r>
        <w:tab/>
        <w:t xml:space="preserve">Вид процедуры закупки: конкурс </w:t>
      </w:r>
      <w:r/>
    </w:p>
    <w:p>
      <w:pPr>
        <w:pStyle w:val="638"/>
        <w:ind w:right="24"/>
        <w:jc w:val="both"/>
      </w:pPr>
      <w:r>
        <w:rPr>
          <w:b/>
          <w:bCs/>
        </w:rPr>
        <w:t xml:space="preserve">4.</w:t>
      </w:r>
      <w:r>
        <w:tab/>
      </w:r>
      <w:r>
        <w:t xml:space="preserve">В случае признания конкурса несостоявшимся, дальнейшая закупка аудиторской услуги может быть осуществлена посредст</w:t>
      </w:r>
      <w:r>
        <w:t xml:space="preserve">вом применения процедуры закупки из одного источника в порядке и по основаниям, предусмотренным Постановлением Совета Министров Республики Беларусь от 7 апреля 2026 г. № 168 и Положением о порядке осуществления закупок за счет собственных средств Заказчика</w:t>
      </w:r>
      <w:r>
        <w:t xml:space="preserve">.</w:t>
      </w:r>
      <w:r/>
    </w:p>
    <w:p>
      <w:pPr>
        <w:pStyle w:val="638"/>
        <w:ind w:right="24"/>
        <w:jc w:val="both"/>
        <w:rPr>
          <w:b/>
          <w:bCs/>
        </w:rPr>
      </w:pPr>
      <w:r>
        <w:rPr>
          <w:b/>
          <w:bCs/>
        </w:rPr>
        <w:t xml:space="preserve">5.</w:t>
      </w:r>
      <w:r>
        <w:tab/>
      </w:r>
      <w:r>
        <w:rPr>
          <w:b/>
          <w:bCs/>
        </w:rPr>
        <w:t xml:space="preserve">Условия оплаты:</w:t>
      </w:r>
      <w:r>
        <w:rPr>
          <w:b/>
          <w:bCs/>
        </w:rPr>
      </w:r>
    </w:p>
    <w:p>
      <w:pPr>
        <w:pStyle w:val="638"/>
        <w:ind w:right="24"/>
        <w:jc w:val="both"/>
      </w:pPr>
      <w:r>
        <w:t xml:space="preserve">Оплата стоимости каждого этапа услуг осуществляется в течение </w:t>
      </w:r>
      <w:r>
        <w:rPr>
          <w:b/>
          <w:bCs/>
        </w:rPr>
        <w:t xml:space="preserve">не более 10 (десяти) календарных дней</w:t>
      </w:r>
      <w:r>
        <w:t xml:space="preserve"> после подписания Сторонами акта сдачи-приемки оказанных услуг по соответствующему этапу оказания услуги.</w:t>
      </w:r>
      <w:r/>
    </w:p>
    <w:p>
      <w:pPr>
        <w:pStyle w:val="638"/>
        <w:ind w:right="24"/>
        <w:jc w:val="both"/>
      </w:pPr>
      <w:r>
        <w:rPr>
          <w:b/>
          <w:bCs/>
        </w:rPr>
        <w:t xml:space="preserve">Предложения по условиям оплаты, ухудшающ</w:t>
      </w:r>
      <w:r>
        <w:rPr>
          <w:b/>
          <w:bCs/>
        </w:rPr>
        <w:t xml:space="preserve">ие условия Заказчика по сравнению с указанными в настоящем пункте (в том числе предусматривающие частичную либо 100% предоплату, авансирование, либо сокращение срока оплаты), рассмотрению не подлежат, и такие участники будут отклонены комиссией по закупкам</w:t>
      </w:r>
      <w:r>
        <w:t xml:space="preserve">.</w:t>
      </w:r>
      <w:r/>
    </w:p>
    <w:p>
      <w:pPr>
        <w:pStyle w:val="638"/>
        <w:ind w:right="24"/>
        <w:jc w:val="both"/>
      </w:pPr>
      <w:r>
        <w:rPr>
          <w:b/>
          <w:bCs/>
        </w:rPr>
        <w:t xml:space="preserve">6.</w:t>
      </w:r>
      <w:r>
        <w:tab/>
        <w:t xml:space="preserve">Ориентировочная стоимость закупки </w:t>
      </w:r>
      <w:r>
        <w:t xml:space="preserve">–</w:t>
      </w:r>
      <w:r>
        <w:t xml:space="preserve"> </w:t>
      </w:r>
      <w:r>
        <w:t xml:space="preserve">будет определена по результатам маркетинговых исследований.</w:t>
      </w:r>
      <w:r/>
    </w:p>
    <w:p>
      <w:pPr>
        <w:pStyle w:val="638"/>
        <w:ind w:right="24"/>
        <w:jc w:val="both"/>
        <w:rPr>
          <w:rStyle w:val="642"/>
        </w:rPr>
      </w:pPr>
      <w:r>
        <w:rPr>
          <w:rStyle w:val="642"/>
        </w:rPr>
        <w:t xml:space="preserve">Порядок формирования суммы договора на закупку:</w:t>
      </w:r>
      <w:r>
        <w:rPr>
          <w:rStyle w:val="642"/>
        </w:rPr>
      </w:r>
    </w:p>
    <w:p>
      <w:pPr>
        <w:pStyle w:val="638"/>
        <w:ind w:right="24" w:firstLine="720"/>
        <w:jc w:val="both"/>
      </w:pPr>
      <w:r>
        <w:t xml:space="preserve">Сумма договора на закупку (цена предложения) включает стоимость услуг по проведению аудита и предоставлению письменной информации (отчетов) по результатам проверки, выдаче аудиторского заключения о достоверности годовой бухгалт</w:t>
      </w:r>
      <w:r>
        <w:t xml:space="preserve">ерской отчетности, командировочные расходы по выезду аудиторов, консультационных услуг на период с даты заключения договора и до предоставления аудиторского заключения, а также все иные расходы Исполнителя, связанные с выполнением обязательств по договору.</w:t>
      </w:r>
      <w:r/>
    </w:p>
    <w:p>
      <w:pPr>
        <w:pStyle w:val="638"/>
        <w:ind w:right="24" w:firstLine="720"/>
        <w:jc w:val="both"/>
      </w:pPr>
      <w:r>
        <w:t xml:space="preserve">Цена </w:t>
      </w:r>
      <w:r>
        <w:t xml:space="preserve">предложения участника, определенная по результатам процедуры закупки, фиксируется на весь период действия договора. Изменение цены, при которой участник был признан победителем процедуры закупки, при исполнении договора в сторону увеличения не допускается.</w:t>
      </w:r>
      <w:r>
        <w:t xml:space="preserve"> </w:t>
      </w:r>
      <w:r/>
    </w:p>
    <w:p>
      <w:pPr>
        <w:pStyle w:val="638"/>
        <w:ind w:right="24" w:firstLine="720"/>
        <w:jc w:val="both"/>
      </w:pPr>
      <w:r>
        <w:t xml:space="preserve">Для целей оценки и сравнения предложений участников цены всех предложений приводятся к единому базису путем </w:t>
      </w:r>
      <w:r>
        <w:rPr>
          <w:b/>
          <w:bCs/>
        </w:rPr>
        <w:t xml:space="preserve">исключения</w:t>
      </w:r>
      <w:r>
        <w:rPr>
          <w:b/>
          <w:bCs/>
        </w:rPr>
        <w:t xml:space="preserve"> </w:t>
      </w:r>
      <w:r>
        <w:rPr>
          <w:b/>
          <w:bCs/>
        </w:rPr>
        <w:t xml:space="preserve">суммы НДС</w:t>
      </w:r>
      <w:r>
        <w:t xml:space="preserve">.</w:t>
      </w:r>
      <w:r>
        <w:t xml:space="preserve">В случае, если победителем закупки будет признан участник, не являющийся плательщиком НДС в соответствии с законодательством Республики Беларусь, договор с таким участником заключается по цене его предложения без учета НДС</w:t>
      </w:r>
      <w:r>
        <w:t xml:space="preserve">.</w:t>
      </w:r>
      <w:r/>
    </w:p>
    <w:p>
      <w:pPr>
        <w:pStyle w:val="638"/>
        <w:ind w:right="24"/>
        <w:jc w:val="both"/>
        <w:rPr>
          <w:lang w:val="ru-RU"/>
        </w:rPr>
      </w:pPr>
      <w:r>
        <w:rPr>
          <w:b/>
          <w:bCs/>
        </w:rPr>
        <w:t xml:space="preserve">7.</w:t>
      </w:r>
      <w:r>
        <w:tab/>
      </w:r>
      <w:r>
        <w:rPr>
          <w:b/>
          <w:bCs/>
          <w:lang w:val="ru-RU"/>
        </w:rPr>
        <w:t xml:space="preserve">Валюта договора - </w:t>
      </w:r>
      <w:r>
        <w:rPr>
          <w:lang w:val="ru-RU"/>
        </w:rPr>
        <w:t xml:space="preserve">белорусский рубль.</w:t>
      </w:r>
      <w:r>
        <w:rPr>
          <w:lang w:val="ru-RU"/>
        </w:rPr>
      </w:r>
    </w:p>
    <w:p>
      <w:pPr>
        <w:pStyle w:val="638"/>
        <w:ind w:right="24"/>
        <w:jc w:val="both"/>
        <w:rPr>
          <w:lang w:val="ru-RU"/>
        </w:rPr>
      </w:pPr>
      <w:r>
        <w:rPr>
          <w:b/>
          <w:bCs/>
        </w:rPr>
        <w:t xml:space="preserve">8</w:t>
      </w:r>
      <w:r>
        <w:t xml:space="preserve">.</w:t>
      </w:r>
      <w:r>
        <w:tab/>
      </w:r>
      <w:r>
        <w:rPr>
          <w:b/>
          <w:bCs/>
          <w:lang w:val="ru-RU"/>
        </w:rPr>
        <w:t xml:space="preserve">Источник финансирования закупаемой услуги: </w:t>
      </w:r>
      <w:r>
        <w:rPr>
          <w:lang w:val="ru-RU"/>
        </w:rPr>
        <w:t xml:space="preserve">собственные средства</w:t>
      </w:r>
      <w:r>
        <w:t xml:space="preserve"> Заказчика</w:t>
      </w:r>
      <w:r>
        <w:rPr>
          <w:lang w:val="ru-RU"/>
        </w:rPr>
        <w:t xml:space="preserve">.</w:t>
      </w:r>
      <w:r>
        <w:rPr>
          <w:lang w:val="ru-RU"/>
        </w:rPr>
      </w:r>
    </w:p>
    <w:p>
      <w:pPr>
        <w:pStyle w:val="638"/>
        <w:ind w:right="24"/>
        <w:jc w:val="both"/>
      </w:pPr>
      <w:r>
        <w:rPr>
          <w:b/>
          <w:bCs/>
        </w:rPr>
        <w:t xml:space="preserve">9.</w:t>
      </w:r>
      <w:r>
        <w:tab/>
      </w:r>
      <w:r>
        <w:rPr>
          <w:b/>
          <w:bCs/>
          <w:lang w:val="ru-RU"/>
        </w:rPr>
        <w:t xml:space="preserve">Обоснование выбора процедуры закупки: </w:t>
      </w:r>
      <w:r>
        <w:t xml:space="preserve">п</w:t>
      </w:r>
      <w:r>
        <w:rPr>
          <w:lang w:val="ru-RU"/>
        </w:rPr>
        <w:t xml:space="preserve">роведение конкурса обусловлено требованиями Постановления Совета Министров Республики Беларусь от 7</w:t>
      </w:r>
      <w:r>
        <w:rPr>
          <w:lang w:val="ru-RU"/>
        </w:rPr>
        <w:t xml:space="preserve"> апреля 2026 г. № 168 «О порядке осуществления закупок товаров (работ, услуг) за счет собственных средств», Постановления Совета Министров Республики Беларусь от 28 декабря 2019 г. № 936 «О вопросах закупок аудиторских услуг», а также Положения о порядке о</w:t>
      </w:r>
      <w:r>
        <w:rPr>
          <w:lang w:val="ru-RU"/>
        </w:rPr>
        <w:t xml:space="preserve">существления закупок за счёт собственных средств государственного предприятия "ЭКСПЕРИМЕНТАЛЬНЫЙ ЗАВОД" РУП "НАУЧНО-ПРАКТИЧЕСКИЙ ЦЕНТР НАЦИОНАЛЬНОЙ АКАДЕМИИ НАУК БЕЛАРУСИ ПО МЕХАНИЗАЦИИ СЕЛЬСКОГО ХОЗЯЙСТВА", утвержденного 13.07.2026 приказом директора № 72</w:t>
      </w:r>
      <w:r>
        <w:t xml:space="preserve">.</w:t>
      </w:r>
      <w:r/>
    </w:p>
    <w:p>
      <w:pPr>
        <w:pStyle w:val="638"/>
        <w:ind w:right="24"/>
        <w:jc w:val="both"/>
      </w:pPr>
      <w:r>
        <w:rPr>
          <w:b/>
          <w:bCs/>
        </w:rPr>
        <w:t xml:space="preserve">10.</w:t>
      </w:r>
      <w:r>
        <w:tab/>
      </w:r>
      <w:r>
        <w:rPr>
          <w:b/>
          <w:bCs/>
        </w:rPr>
        <w:t xml:space="preserve">Требования к участникам процедуры закупки и перечень документов для подтверждения соответствия:</w:t>
      </w:r>
      <w:r/>
    </w:p>
    <w:p>
      <w:pPr>
        <w:pStyle w:val="638"/>
        <w:ind w:right="24"/>
        <w:jc w:val="both"/>
      </w:pPr>
      <w:r>
        <w:rPr>
          <w:b/>
          <w:bCs/>
        </w:rPr>
        <w:t xml:space="preserve">10.1.</w:t>
      </w:r>
      <w:r>
        <w:rPr>
          <w:b/>
          <w:bCs/>
        </w:rPr>
        <w:tab/>
      </w:r>
      <w:r>
        <w:rPr>
          <w:b/>
          <w:bCs/>
        </w:rPr>
        <w:t xml:space="preserve">Общие, антикоррупционные и правовые требования (в соответствии с Постановлением № 168):</w:t>
      </w:r>
      <w:r/>
    </w:p>
    <w:p>
      <w:pPr>
        <w:pStyle w:val="638"/>
        <w:numPr>
          <w:ilvl w:val="0"/>
          <w:numId w:val="5"/>
        </w:numPr>
        <w:ind w:left="0" w:right="24" w:firstLine="360"/>
        <w:jc w:val="both"/>
        <w:tabs>
          <w:tab w:val="clear" w:pos="720" w:leader="none"/>
        </w:tabs>
      </w:pPr>
      <w:r>
        <w:t xml:space="preserve">Юридическое или физическое лицо, в том числе индивидуальный предприниматель (ИП), на дату подачи предложения не должно быть включено в реестр поставщиков (подрядчиков, исполнителей), временно не допускаемых к закупкам.</w:t>
      </w:r>
      <w:r/>
    </w:p>
    <w:p>
      <w:pPr>
        <w:pStyle w:val="638"/>
        <w:numPr>
          <w:ilvl w:val="0"/>
          <w:numId w:val="5"/>
        </w:numPr>
        <w:ind w:right="24"/>
        <w:jc w:val="both"/>
      </w:pPr>
      <w:r>
        <w:t xml:space="preserve">Участник процедуры закупки не должен быть аффилирован с закупающей организацией (Заказчиком).</w:t>
      </w:r>
      <w:r/>
    </w:p>
    <w:p>
      <w:pPr>
        <w:pStyle w:val="638"/>
        <w:numPr>
          <w:ilvl w:val="0"/>
          <w:numId w:val="5"/>
        </w:numPr>
        <w:ind w:left="0" w:right="24" w:firstLine="360"/>
        <w:jc w:val="both"/>
        <w:tabs>
          <w:tab w:val="clear" w:pos="720" w:leader="none"/>
        </w:tabs>
      </w:pPr>
      <w:r>
        <w:t xml:space="preserve">Физическое лицо, в том числе ИП, лицо, осуществляющее полномочия единоличного исполнительного органа юридического лица, и л</w:t>
      </w:r>
      <w:r>
        <w:t xml:space="preserve">ицо, имеющее право давать такому юридическому лицу обязательные для исполнения указания, не должны считаться подвергавшимися административному взысканию за правонарушения, предусмотренные в частях 1, 7, 8 и 10 статьи 14.4, частях 4 и 5 статьи 14.5 КоАП РБ.</w:t>
      </w:r>
      <w:r/>
    </w:p>
    <w:p>
      <w:pPr>
        <w:pStyle w:val="638"/>
        <w:numPr>
          <w:ilvl w:val="0"/>
          <w:numId w:val="5"/>
        </w:numPr>
        <w:ind w:left="0" w:right="24" w:firstLine="360"/>
        <w:jc w:val="both"/>
        <w:tabs>
          <w:tab w:val="clear" w:pos="720" w:leader="none"/>
        </w:tabs>
      </w:pPr>
      <w:r>
        <w:t xml:space="preserve">Юридическое лицо не должно считаться подвергавшимися административному взысканию за административное правонарушение, предусмотренное в статье 24.59 КоАП РБ.</w:t>
      </w:r>
      <w:r/>
    </w:p>
    <w:p>
      <w:pPr>
        <w:pStyle w:val="638"/>
        <w:numPr>
          <w:ilvl w:val="0"/>
          <w:numId w:val="5"/>
        </w:numPr>
        <w:ind w:left="0" w:right="24" w:firstLine="360"/>
        <w:jc w:val="both"/>
        <w:tabs>
          <w:tab w:val="clear" w:pos="720" w:leader="none"/>
        </w:tabs>
      </w:pPr>
      <w:r>
        <w:t xml:space="preserve">Отсутствие у участника (физического лица, </w:t>
      </w:r>
      <w:r>
        <w:t xml:space="preserve">ИП, руководителя юридического лица и лиц, имеющих право давать обязательные указания) неснятой или непогашенной судимости за преступления, предусмотренные в статьях 209–212, 216, 235, 243–243³, 424–426, 429–432 и 455 Уголовного кодекса Республики Беларусь.</w:t>
      </w:r>
      <w:r/>
    </w:p>
    <w:p>
      <w:pPr>
        <w:pStyle w:val="638"/>
        <w:numPr>
          <w:ilvl w:val="0"/>
          <w:numId w:val="5"/>
        </w:numPr>
        <w:ind w:left="0" w:right="24" w:firstLine="360"/>
        <w:jc w:val="both"/>
        <w:tabs>
          <w:tab w:val="clear" w:pos="720" w:leader="none"/>
        </w:tabs>
      </w:pPr>
      <w:r>
        <w:t xml:space="preserve">Участник не должен быть включен в перечни лиц, организаций и формирований, причастных к террористической или экстремистской деятельности.</w:t>
      </w:r>
      <w:r/>
    </w:p>
    <w:p>
      <w:pPr>
        <w:pStyle w:val="638"/>
        <w:ind w:right="24"/>
        <w:jc w:val="both"/>
      </w:pPr>
      <w:r>
        <w:rPr>
          <w:i/>
          <w:iCs/>
        </w:rPr>
        <w:t xml:space="preserve">Способ подтверждения требований п. 10.1: Заявление о соответствии вышеуказанным требованиям подается по форме, определенной регламентом оператора электронной торговой площадки (ЭТП).</w:t>
      </w:r>
      <w:r/>
    </w:p>
    <w:p>
      <w:pPr>
        <w:pStyle w:val="638"/>
        <w:ind w:right="24"/>
        <w:jc w:val="both"/>
      </w:pPr>
      <w:r>
        <w:rPr>
          <w:b/>
          <w:bCs/>
        </w:rPr>
        <w:t xml:space="preserve">10.2. Специальные и профессиональные требования (в соответствии с Постановлением №</w:t>
      </w:r>
      <w:r>
        <w:rPr>
          <w:b/>
          <w:bCs/>
        </w:rPr>
        <w:t xml:space="preserve"> </w:t>
      </w:r>
      <w:r>
        <w:rPr>
          <w:b/>
          <w:bCs/>
        </w:rPr>
        <w:t xml:space="preserve">936):</w:t>
      </w:r>
      <w:r/>
    </w:p>
    <w:p>
      <w:pPr>
        <w:pStyle w:val="638"/>
        <w:numPr>
          <w:ilvl w:val="0"/>
          <w:numId w:val="6"/>
        </w:numPr>
        <w:ind w:left="0" w:right="24" w:firstLine="360"/>
        <w:jc w:val="both"/>
        <w:tabs>
          <w:tab w:val="clear" w:pos="720" w:leader="none"/>
        </w:tabs>
      </w:pPr>
      <w:r>
        <w:rPr>
          <w:b/>
          <w:bCs/>
        </w:rPr>
        <w:t xml:space="preserve">Реестр Минфина:</w:t>
      </w:r>
      <w:r>
        <w:t xml:space="preserve"> Наличие сведений об участнике в реестре аудиторов, аудиторов-ИП, аудиторских организаций Министерства финансов РБ.</w:t>
      </w:r>
      <w:r/>
    </w:p>
    <w:p>
      <w:pPr>
        <w:pStyle w:val="638"/>
        <w:numPr>
          <w:ilvl w:val="0"/>
          <w:numId w:val="6"/>
        </w:numPr>
        <w:ind w:left="0" w:right="24" w:firstLine="360"/>
        <w:jc w:val="both"/>
        <w:tabs>
          <w:tab w:val="clear" w:pos="720" w:leader="none"/>
        </w:tabs>
      </w:pPr>
      <w:r>
        <w:rPr>
          <w:b/>
          <w:bCs/>
        </w:rPr>
        <w:t xml:space="preserve">Принцип независимости:</w:t>
      </w:r>
      <w:r>
        <w:t xml:space="preserve"> Соблюдение участником принципа независимости в отношении Заказчика в соответствии со ст. 24 Закона «Об аудиторской деятельности». </w:t>
      </w:r>
      <w:r/>
    </w:p>
    <w:p>
      <w:pPr>
        <w:pStyle w:val="638"/>
        <w:numPr>
          <w:ilvl w:val="0"/>
          <w:numId w:val="6"/>
        </w:numPr>
        <w:ind w:right="24"/>
        <w:jc w:val="both"/>
      </w:pPr>
      <w:r>
        <w:rPr>
          <w:b/>
          <w:bCs/>
        </w:rPr>
        <w:t xml:space="preserve">Общий опыт:</w:t>
      </w:r>
      <w:r>
        <w:t xml:space="preserve"> Опыт оказания аудиторских услуг составляет не менее </w:t>
      </w:r>
      <w:r>
        <w:t xml:space="preserve">10</w:t>
      </w:r>
      <w:r>
        <w:t xml:space="preserve"> (</w:t>
      </w:r>
      <w:r>
        <w:t xml:space="preserve">десяти</w:t>
      </w:r>
      <w:r>
        <w:t xml:space="preserve">) лет. </w:t>
      </w:r>
      <w:r/>
    </w:p>
    <w:p>
      <w:pPr>
        <w:pStyle w:val="638"/>
        <w:numPr>
          <w:ilvl w:val="0"/>
          <w:numId w:val="6"/>
        </w:numPr>
        <w:ind w:right="24"/>
        <w:jc w:val="both"/>
      </w:pPr>
      <w:r>
        <w:rPr>
          <w:b/>
          <w:bCs/>
        </w:rPr>
        <w:t xml:space="preserve">Положительная репутация:</w:t>
      </w:r>
      <w:r>
        <w:t xml:space="preserve"> Наличие положительного опыта работы на рынке. </w:t>
      </w:r>
      <w:r/>
    </w:p>
    <w:p>
      <w:pPr>
        <w:pStyle w:val="638"/>
        <w:numPr>
          <w:ilvl w:val="0"/>
          <w:numId w:val="6"/>
        </w:numPr>
        <w:ind w:left="0" w:right="24" w:firstLine="360"/>
        <w:jc w:val="both"/>
        <w:tabs>
          <w:tab w:val="clear" w:pos="720" w:leader="none"/>
        </w:tabs>
      </w:pPr>
      <w:r>
        <w:rPr>
          <w:b/>
          <w:bCs/>
        </w:rPr>
        <w:t xml:space="preserve">Отраслевой опыт:</w:t>
      </w:r>
      <w:r>
        <w:t xml:space="preserve"> Опыт проведения обязательного или инициативного аудита годовой бухгалтерской отчетности за три года, предшествовавших году закупки (2023, 2024, 2025 гг.), в сфере деятельности Заказчика — </w:t>
      </w:r>
      <w:r>
        <w:rPr>
          <w:b/>
          <w:bCs/>
        </w:rPr>
        <w:t xml:space="preserve">производство машин и оборудования (секция C, раздел 28 ОКРБ 005-2011)</w:t>
      </w:r>
      <w:r>
        <w:t xml:space="preserve">. </w:t>
      </w:r>
      <w:r/>
    </w:p>
    <w:p>
      <w:pPr>
        <w:pStyle w:val="638"/>
        <w:numPr>
          <w:ilvl w:val="0"/>
          <w:numId w:val="6"/>
        </w:numPr>
        <w:ind w:left="0" w:right="24" w:firstLine="360"/>
        <w:jc w:val="both"/>
        <w:tabs>
          <w:tab w:val="clear" w:pos="720" w:leader="none"/>
        </w:tabs>
      </w:pPr>
      <w:r>
        <w:rPr>
          <w:b/>
          <w:bCs/>
        </w:rPr>
        <w:t xml:space="preserve">Квалификация персонала:</w:t>
      </w:r>
      <w:r>
        <w:t xml:space="preserve"> Наличие в штате по основному месту работы не менее 3 (трех) аудиторов с действующими аттестатами Минфина РБ. </w:t>
      </w:r>
      <w:r/>
    </w:p>
    <w:p>
      <w:pPr>
        <w:pStyle w:val="638"/>
        <w:numPr>
          <w:ilvl w:val="0"/>
          <w:numId w:val="6"/>
        </w:numPr>
        <w:ind w:right="24"/>
        <w:jc w:val="both"/>
      </w:pPr>
      <w:r>
        <w:rPr>
          <w:b/>
          <w:bCs/>
        </w:rPr>
        <w:t xml:space="preserve">Страхование:</w:t>
      </w:r>
      <w:r>
        <w:t xml:space="preserve"> Действующий договор страхования ответственности аудиторов. </w:t>
      </w:r>
      <w:r/>
    </w:p>
    <w:p>
      <w:pPr>
        <w:pStyle w:val="638"/>
        <w:ind w:right="24"/>
        <w:jc w:val="both"/>
      </w:pPr>
      <w:r>
        <w:rPr>
          <w:b/>
          <w:bCs/>
        </w:rPr>
        <w:t xml:space="preserve">10.3. Дополнительные документы, представляемые участниками:</w:t>
      </w:r>
      <w:r/>
    </w:p>
    <w:p>
      <w:pPr>
        <w:pStyle w:val="638"/>
        <w:numPr>
          <w:ilvl w:val="0"/>
          <w:numId w:val="7"/>
        </w:numPr>
        <w:ind w:left="0" w:right="24" w:firstLine="360"/>
        <w:jc w:val="both"/>
        <w:tabs>
          <w:tab w:val="clear" w:pos="720" w:leader="none"/>
        </w:tabs>
      </w:pPr>
      <w:r>
        <w:rPr>
          <w:b/>
          <w:bCs/>
        </w:rPr>
        <w:t xml:space="preserve">Для нерезидентов Республики Беларусь:</w:t>
      </w:r>
      <w:r>
        <w:t xml:space="preserve"> Выписка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 (оформленная в установленном порядке с переводом на русский/белорусский язык).</w:t>
      </w:r>
      <w:r/>
    </w:p>
    <w:p>
      <w:pPr>
        <w:pStyle w:val="638"/>
        <w:ind w:right="24"/>
        <w:jc w:val="both"/>
        <w:rPr>
          <w:lang w:val="ru-RU"/>
        </w:rPr>
      </w:pPr>
      <w:r>
        <w:rPr>
          <w:b/>
          <w:bCs/>
        </w:rPr>
        <w:t xml:space="preserve">11.</w:t>
      </w:r>
      <w:r>
        <w:tab/>
      </w:r>
      <w:r>
        <w:rPr>
          <w:b/>
          <w:bCs/>
          <w:lang w:val="ru-RU"/>
        </w:rPr>
        <w:t xml:space="preserve">Иные условия проведения процедуры закупки</w:t>
      </w:r>
      <w:r>
        <w:rPr>
          <w:b/>
          <w:bCs/>
          <w:lang w:val="ru-RU"/>
        </w:rPr>
        <w:t xml:space="preserve">: </w:t>
      </w:r>
      <w:r>
        <w:rPr>
          <w:lang w:val="ru-RU"/>
        </w:rPr>
        <w:t xml:space="preserve">Участник в конкурсном предложении указывает общую стоимость услуги без учета НДС с указанием отдельно ставки НДС и суммы НДС (в случае, если участник является плательщиком НДС).</w:t>
      </w:r>
      <w:r>
        <w:t xml:space="preserve"> </w:t>
      </w:r>
      <w:r>
        <w:rPr>
          <w:lang w:val="ru-RU"/>
        </w:rPr>
        <w:t xml:space="preserve">Оценка и сравнение предложений по критерию «цена предложения» будет производиться исходя из стоимости предмета закупки без учета НДС (независимо от применяемой участником системы налогообложения).</w:t>
      </w:r>
      <w:r>
        <w:rPr>
          <w:lang w:val="ru-RU"/>
        </w:rPr>
      </w:r>
    </w:p>
    <w:p>
      <w:pPr>
        <w:pStyle w:val="638"/>
        <w:ind w:right="24"/>
        <w:jc w:val="both"/>
        <w:rPr>
          <w:lang w:val="ru-RU"/>
        </w:rPr>
      </w:pPr>
      <w:r>
        <w:rPr>
          <w:b/>
          <w:bCs/>
        </w:rPr>
        <w:t xml:space="preserve">12.</w:t>
      </w:r>
      <w:r>
        <w:tab/>
      </w:r>
      <w:r>
        <w:rPr>
          <w:b/>
          <w:bCs/>
          <w:lang w:val="ru-RU"/>
        </w:rPr>
        <w:t xml:space="preserve">Иные условия закупаемых</w:t>
      </w:r>
      <w:r>
        <w:rPr>
          <w:lang w:val="ru-RU"/>
        </w:rPr>
        <w:t xml:space="preserve"> </w:t>
      </w:r>
      <w:r>
        <w:rPr>
          <w:b/>
          <w:bCs/>
          <w:lang w:val="ru-RU"/>
        </w:rPr>
        <w:t xml:space="preserve">услуг: </w:t>
      </w:r>
      <w:r>
        <w:rPr>
          <w:lang w:val="ru-RU"/>
        </w:rPr>
        <w:t xml:space="preserve">в соответствии с проектом договора оказания</w:t>
      </w:r>
      <w:r>
        <w:rPr>
          <w:color w:val="000000"/>
          <w:lang w:val="ru-RU" w:eastAsia="ru-RU"/>
        </w:rPr>
        <w:t xml:space="preserve"> </w:t>
      </w:r>
      <w:r>
        <w:rPr>
          <w:lang w:val="ru-RU"/>
        </w:rPr>
        <w:t xml:space="preserve">аудиторских услуг.</w:t>
      </w:r>
      <w:r>
        <w:rPr>
          <w:lang w:val="ru-RU"/>
        </w:rPr>
      </w:r>
    </w:p>
    <w:p>
      <w:pPr>
        <w:pStyle w:val="638"/>
        <w:ind w:right="24"/>
        <w:jc w:val="both"/>
        <w:rPr>
          <w:lang w:val="ru-RU"/>
        </w:rPr>
      </w:pPr>
      <w:r>
        <w:rPr>
          <w:b/>
          <w:bCs/>
        </w:rPr>
        <w:t xml:space="preserve">13.</w:t>
      </w:r>
      <w:r>
        <w:tab/>
      </w:r>
      <w:r>
        <w:rPr>
          <w:lang w:val="ru-RU"/>
        </w:rPr>
        <w:t xml:space="preserve">Список производителей, включенных в Регистр производителей товаров (работ, услуг) и их сбытовых организаций (официальных торговых представителей) Республики Беларусь и производящих товары (работы, услуги), аналогичные подлежащим закупке на </w:t>
      </w:r>
      <w:r>
        <w:t xml:space="preserve">03.09.2026</w:t>
      </w:r>
      <w:r>
        <w:rPr>
          <w:lang w:val="ru-RU"/>
        </w:rPr>
        <w:t xml:space="preserve">: </w:t>
      </w:r>
      <w:r>
        <w:rPr>
          <w:lang w:val="ru-RU"/>
        </w:rPr>
      </w: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2"/>
        <w:gridCol w:w="3878"/>
        <w:gridCol w:w="3983"/>
      </w:tblGrid>
      <w:tr>
        <w:tblPrEx/>
        <w:trPr>
          <w:trHeight w:val="557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632" w:type="dxa"/>
            <w:vAlign w:val="bottom"/>
            <w:textDirection w:val="lrTb"/>
            <w:noWrap w:val="false"/>
          </w:tcPr>
          <w:p>
            <w:pPr>
              <w:pStyle w:val="638"/>
              <w:ind w:right="24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Номер организации</w:t>
            </w:r>
            <w:r>
              <w:rPr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3878" w:type="dxa"/>
            <w:vAlign w:val="center"/>
            <w:textDirection w:val="lrTb"/>
            <w:noWrap w:val="false"/>
          </w:tcPr>
          <w:p>
            <w:pPr>
              <w:pStyle w:val="638"/>
              <w:ind w:right="24"/>
              <w:jc w:val="both"/>
              <w:rPr>
                <w:lang w:val="ru-RU"/>
              </w:rPr>
            </w:pPr>
            <w:r>
              <w:t xml:space="preserve">Наименование</w:t>
            </w:r>
            <w:r>
              <w:rPr>
                <w:lang w:val="ru-RU"/>
              </w:rPr>
              <w:t xml:space="preserve"> организации</w:t>
            </w:r>
            <w:r>
              <w:rPr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983" w:type="dxa"/>
            <w:vAlign w:val="center"/>
            <w:textDirection w:val="lrTb"/>
            <w:noWrap w:val="false"/>
          </w:tcPr>
          <w:p>
            <w:pPr>
              <w:pStyle w:val="638"/>
              <w:ind w:right="24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Контактные данные</w:t>
            </w:r>
            <w:r>
              <w:rPr>
                <w:lang w:val="ru-RU"/>
              </w:rPr>
            </w:r>
          </w:p>
        </w:tc>
      </w:tr>
      <w:tr>
        <w:tblPrEx/>
        <w:trPr>
          <w:trHeight w:val="1128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632" w:type="dxa"/>
            <w:vAlign w:val="center"/>
            <w:textDirection w:val="lrTb"/>
            <w:noWrap w:val="false"/>
          </w:tcPr>
          <w:p>
            <w:pPr>
              <w:pStyle w:val="638"/>
              <w:ind w:right="24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Р-23895-2025</w:t>
            </w:r>
            <w:r>
              <w:rPr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878" w:type="dxa"/>
            <w:vAlign w:val="center"/>
            <w:textDirection w:val="lrTb"/>
            <w:noWrap w:val="false"/>
          </w:tcPr>
          <w:p>
            <w:pPr>
              <w:pStyle w:val="638"/>
              <w:ind w:right="24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Закрытое акционерное общество «Бизнес Ашуренс»</w:t>
            </w:r>
            <w:r>
              <w:rPr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3" w:type="dxa"/>
            <w:vAlign w:val="center"/>
            <w:textDirection w:val="lrTb"/>
            <w:noWrap w:val="false"/>
          </w:tcPr>
          <w:p>
            <w:pPr>
              <w:pStyle w:val="638"/>
              <w:ind w:right="24"/>
              <w:rPr>
                <w:lang w:val="ru-RU"/>
              </w:rPr>
            </w:pPr>
            <w:r>
              <w:rPr>
                <w:lang w:val="ru-RU"/>
              </w:rPr>
              <w:t xml:space="preserve">220020, г. Минск, пр-т Победителей, 103, 8 этаж, помещение 7</w:t>
            </w:r>
            <w:r>
              <w:rPr>
                <w:lang w:val="ru-RU"/>
              </w:rPr>
            </w:r>
          </w:p>
          <w:p>
            <w:pPr>
              <w:pStyle w:val="638"/>
              <w:ind w:right="24"/>
              <w:rPr>
                <w:lang w:val="ru-RU"/>
              </w:rPr>
            </w:pPr>
            <w:r>
              <w:rPr>
                <w:lang w:val="ru-RU"/>
              </w:rPr>
              <w:t xml:space="preserve">+375-17-308-74-50, +375-17-308-74-51</w:t>
            </w:r>
            <w:r>
              <w:rPr>
                <w:lang w:val="ru-RU"/>
              </w:rPr>
            </w:r>
          </w:p>
          <w:p>
            <w:pPr>
              <w:pStyle w:val="638"/>
              <w:ind w:right="24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info@assurance.by</w:t>
            </w:r>
            <w:r>
              <w:rPr>
                <w:lang w:val="ru-RU"/>
              </w:rPr>
            </w:r>
          </w:p>
        </w:tc>
      </w:tr>
      <w:tr>
        <w:tblPrEx/>
        <w:trPr>
          <w:trHeight w:val="1002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632" w:type="dxa"/>
            <w:vAlign w:val="center"/>
            <w:textDirection w:val="lrTb"/>
            <w:noWrap w:val="false"/>
          </w:tcPr>
          <w:p>
            <w:pPr>
              <w:pStyle w:val="638"/>
              <w:ind w:right="24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Р-25159-2026</w:t>
            </w:r>
            <w:r>
              <w:rPr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878" w:type="dxa"/>
            <w:vAlign w:val="center"/>
            <w:textDirection w:val="lrTb"/>
            <w:noWrap w:val="false"/>
          </w:tcPr>
          <w:p>
            <w:pPr>
              <w:pStyle w:val="638"/>
              <w:ind w:right="24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Общество с ограниченной ответственностью «ПАРТНЕРАУДИТ»</w:t>
            </w:r>
            <w:r>
              <w:rPr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3" w:type="dxa"/>
            <w:textDirection w:val="lrTb"/>
            <w:noWrap w:val="false"/>
          </w:tcPr>
          <w:p>
            <w:pPr>
              <w:pStyle w:val="638"/>
              <w:ind w:right="24"/>
              <w:rPr>
                <w:lang w:val="ru-RU"/>
              </w:rPr>
            </w:pPr>
            <w:r>
              <w:rPr>
                <w:lang w:val="ru-RU"/>
              </w:rPr>
              <w:t xml:space="preserve">220075, г. Минск, пр-т Партизанский, 178/2, оф. 601, БЦ «Волна»</w:t>
            </w:r>
            <w:r>
              <w:rPr>
                <w:lang w:val="ru-RU"/>
              </w:rPr>
            </w:r>
          </w:p>
          <w:p>
            <w:pPr>
              <w:pStyle w:val="638"/>
              <w:ind w:right="24"/>
              <w:rPr>
                <w:lang w:val="ru-RU"/>
              </w:rPr>
            </w:pPr>
            <w:r>
              <w:rPr>
                <w:lang w:val="ru-RU"/>
              </w:rPr>
              <w:t xml:space="preserve">8017-268-68-68</w:t>
            </w:r>
            <w:r>
              <w:rPr>
                <w:lang w:val="ru-RU"/>
              </w:rPr>
            </w:r>
          </w:p>
          <w:p>
            <w:pPr>
              <w:pStyle w:val="638"/>
              <w:ind w:right="24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info@auditby.by</w:t>
            </w:r>
            <w:r>
              <w:rPr>
                <w:lang w:val="ru-RU"/>
              </w:rPr>
            </w:r>
          </w:p>
        </w:tc>
      </w:tr>
      <w:tr>
        <w:tblPrEx/>
        <w:trPr>
          <w:trHeight w:val="792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32" w:type="dxa"/>
            <w:vAlign w:val="center"/>
            <w:textDirection w:val="lrTb"/>
            <w:noWrap w:val="false"/>
          </w:tcPr>
          <w:p>
            <w:pPr>
              <w:pStyle w:val="638"/>
              <w:ind w:right="24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Р-25480-2026</w:t>
            </w:r>
            <w:r>
              <w:rPr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78" w:type="dxa"/>
            <w:vAlign w:val="center"/>
            <w:textDirection w:val="lrTb"/>
            <w:noWrap w:val="false"/>
          </w:tcPr>
          <w:p>
            <w:pPr>
              <w:pStyle w:val="638"/>
              <w:ind w:right="24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Общество с ограниченной ответственностью «ФБК-Бел»</w:t>
            </w:r>
            <w:r>
              <w:rPr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3" w:type="dxa"/>
            <w:vAlign w:val="bottom"/>
            <w:textDirection w:val="lrTb"/>
            <w:noWrap w:val="false"/>
          </w:tcPr>
          <w:p>
            <w:pPr>
              <w:pStyle w:val="638"/>
              <w:ind w:right="24"/>
              <w:rPr>
                <w:lang w:val="ru-RU"/>
              </w:rPr>
            </w:pPr>
            <w:r>
              <w:rPr>
                <w:lang w:val="ru-RU"/>
              </w:rPr>
              <w:t xml:space="preserve">220090, г. Минск, тракт Логойский, д. 22А, пом. 201-11</w:t>
            </w:r>
            <w:r>
              <w:rPr>
                <w:lang w:val="ru-RU"/>
              </w:rPr>
            </w:r>
          </w:p>
          <w:p>
            <w:pPr>
              <w:pStyle w:val="638"/>
              <w:ind w:right="24"/>
              <w:rPr>
                <w:lang w:val="ru-RU"/>
              </w:rPr>
            </w:pPr>
            <w:r>
              <w:rPr>
                <w:lang w:val="ru-RU"/>
              </w:rPr>
              <w:t xml:space="preserve">8017-355-42-23, +375-44-548-96-91</w:t>
            </w:r>
            <w:r>
              <w:rPr>
                <w:lang w:val="ru-RU"/>
              </w:rPr>
            </w:r>
          </w:p>
          <w:p>
            <w:pPr>
              <w:pStyle w:val="638"/>
              <w:ind w:right="24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fbk@fbk.by</w:t>
            </w:r>
            <w:r>
              <w:rPr>
                <w:lang w:val="ru-RU"/>
              </w:rPr>
            </w:r>
          </w:p>
        </w:tc>
      </w:tr>
      <w:tr>
        <w:tblPrEx/>
        <w:trPr>
          <w:trHeight w:val="1134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632" w:type="dxa"/>
            <w:vAlign w:val="center"/>
            <w:textDirection w:val="lrTb"/>
            <w:noWrap w:val="false"/>
          </w:tcPr>
          <w:p>
            <w:pPr>
              <w:pStyle w:val="638"/>
              <w:ind w:right="24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Р-25480-2026</w:t>
            </w:r>
            <w:r>
              <w:rPr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878" w:type="dxa"/>
            <w:vAlign w:val="center"/>
            <w:textDirection w:val="lrTb"/>
            <w:noWrap w:val="false"/>
          </w:tcPr>
          <w:p>
            <w:pPr>
              <w:pStyle w:val="638"/>
              <w:ind w:right="24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Общество с ограниченной ответственностью «ГрандБизнес</w:t>
            </w:r>
            <w:r>
              <w:t xml:space="preserve">  </w:t>
            </w:r>
            <w:r>
              <w:rPr>
                <w:lang w:val="ru-RU"/>
              </w:rPr>
              <w:t xml:space="preserve"> Эксперт»</w:t>
            </w:r>
            <w:r>
              <w:rPr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3" w:type="dxa"/>
            <w:vAlign w:val="bottom"/>
            <w:textDirection w:val="lrTb"/>
            <w:noWrap w:val="false"/>
          </w:tcPr>
          <w:p>
            <w:pPr>
              <w:pStyle w:val="638"/>
              <w:ind w:right="24"/>
              <w:rPr>
                <w:lang w:val="ru-RU"/>
              </w:rPr>
            </w:pPr>
            <w:r>
              <w:rPr>
                <w:lang w:val="ru-RU"/>
              </w:rPr>
              <w:t xml:space="preserve">220020. г. Минск, пр. Победителей, д. 103, оф. 507</w:t>
            </w:r>
            <w:r>
              <w:rPr>
                <w:lang w:val="ru-RU"/>
              </w:rPr>
            </w:r>
          </w:p>
          <w:p>
            <w:pPr>
              <w:pStyle w:val="638"/>
              <w:ind w:right="24"/>
              <w:rPr>
                <w:lang w:val="ru-RU"/>
              </w:rPr>
            </w:pPr>
            <w:r>
              <w:rPr>
                <w:lang w:val="ru-RU"/>
              </w:rPr>
              <w:t xml:space="preserve">+375 29 107-66-02</w:t>
            </w:r>
            <w:r>
              <w:rPr>
                <w:lang w:val="ru-RU"/>
              </w:rPr>
            </w:r>
          </w:p>
          <w:p>
            <w:pPr>
              <w:pStyle w:val="638"/>
              <w:ind w:right="24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services@gbe.by</w:t>
            </w:r>
            <w:r>
              <w:rPr>
                <w:lang w:val="ru-RU"/>
              </w:rPr>
            </w:r>
          </w:p>
        </w:tc>
      </w:tr>
    </w:tbl>
    <w:p>
      <w:pPr>
        <w:pStyle w:val="638"/>
        <w:ind w:right="24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38"/>
        <w:ind w:right="24"/>
        <w:jc w:val="both"/>
        <w:rPr>
          <w:lang w:val="ru-RU"/>
        </w:rPr>
      </w:pPr>
      <w:r>
        <w:rPr>
          <w:lang w:val="ru-RU"/>
        </w:rPr>
        <w:t xml:space="preserve">Список известных организаций по оказанию (предоставлению) аудиторских услуг: </w:t>
      </w:r>
      <w:r>
        <w:t xml:space="preserve">ООО </w:t>
      </w:r>
      <w:r>
        <w:rPr>
          <w:lang w:val="ru-RU"/>
        </w:rPr>
        <w:t xml:space="preserve">«</w:t>
      </w:r>
      <w:r>
        <w:t xml:space="preserve">Аудиторcкий центр </w:t>
      </w:r>
      <w:r>
        <w:rPr>
          <w:lang w:val="ru-RU"/>
        </w:rPr>
        <w:t xml:space="preserve">«</w:t>
      </w:r>
      <w:r>
        <w:t xml:space="preserve">Эрудит</w:t>
      </w:r>
      <w:r>
        <w:rPr>
          <w:lang w:val="ru-RU"/>
        </w:rPr>
        <w:t xml:space="preserve">»</w:t>
      </w:r>
      <w:r>
        <w:t xml:space="preserve">, </w:t>
      </w:r>
      <w:r>
        <w:rPr>
          <w:lang w:val="ru-RU"/>
        </w:rPr>
        <w:t xml:space="preserve">ООО «Аудигинформ</w:t>
      </w:r>
      <w:bookmarkStart w:id="3" w:name="_Hlk239246325"/>
      <w:r>
        <w:rPr>
          <w:lang w:val="ru-RU"/>
        </w:rPr>
        <w:t xml:space="preserve">»</w:t>
      </w:r>
      <w:bookmarkEnd w:id="3"/>
      <w:r>
        <w:rPr>
          <w:lang w:val="ru-RU"/>
        </w:rPr>
        <w:t xml:space="preserve">. ООО «КвалитетАудит», «АудитБизнесКонсалт», ООО «ГрандБизнес Эксперт», ООО «МАиС Консалт Белстрой», ООО «Аудиторско- консалтинговая служба «АУДИК</w:t>
      </w:r>
      <w:r>
        <w:rPr>
          <w:lang w:val="ru-RU"/>
        </w:rPr>
        <w:t xml:space="preserve">С», ООО «Бизнес Альфа», ООО «АудитБизнесКонсалт», ООО «АСБ Конфалт», ЗАО «МастерАудат и Консультации», ОДО «ПрофАудитКонсалт», ООО «БелАудЖгАльянс», ООО «ГолдАудит», Частное предприятие «ВНЕШАУДИТ», ООО «Белросауфит», ООО «Мир аудита», ООО «Либра Консалт».</w:t>
      </w:r>
      <w:r>
        <w:rPr>
          <w:lang w:val="ru-RU"/>
        </w:rPr>
      </w:r>
    </w:p>
    <w:p>
      <w:pPr>
        <w:pStyle w:val="638"/>
        <w:ind w:right="24"/>
        <w:jc w:val="both"/>
      </w:pPr>
      <w:r/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continuous"/>
      <w:pgSz w:w="11906" w:h="16838" w:orient="portrait"/>
      <w:pgMar w:top="1134" w:right="850" w:bottom="851" w:left="1701" w:header="720" w:footer="72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">
    <w:multiLevelType w:val="hybridMultilevel"/>
    <w:lvl w:ilvl="0">
      <w:start w:val="85"/>
      <w:numFmt w:val="decimal"/>
      <w:isLgl w:val="false"/>
      <w:suff w:val="tab"/>
      <w:lvlText w:val="%1,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ind w:left="0" w:right="0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32"/>
    <w:next w:val="632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33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32"/>
    <w:next w:val="632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33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32"/>
    <w:next w:val="632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33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32"/>
    <w:next w:val="632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33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32"/>
    <w:next w:val="632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33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32"/>
    <w:next w:val="632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33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32"/>
    <w:next w:val="632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33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32"/>
    <w:next w:val="632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33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32"/>
    <w:next w:val="632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33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32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32"/>
    <w:next w:val="632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33"/>
    <w:link w:val="35"/>
    <w:uiPriority w:val="10"/>
    <w:rPr>
      <w:sz w:val="48"/>
      <w:szCs w:val="48"/>
    </w:rPr>
  </w:style>
  <w:style w:type="paragraph" w:styleId="37">
    <w:name w:val="Subtitle"/>
    <w:basedOn w:val="632"/>
    <w:next w:val="632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33"/>
    <w:link w:val="37"/>
    <w:uiPriority w:val="11"/>
    <w:rPr>
      <w:sz w:val="24"/>
      <w:szCs w:val="24"/>
    </w:rPr>
  </w:style>
  <w:style w:type="paragraph" w:styleId="39">
    <w:name w:val="Quote"/>
    <w:basedOn w:val="632"/>
    <w:next w:val="632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32"/>
    <w:next w:val="632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32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33"/>
    <w:link w:val="43"/>
    <w:uiPriority w:val="99"/>
  </w:style>
  <w:style w:type="paragraph" w:styleId="45">
    <w:name w:val="Footer"/>
    <w:basedOn w:val="63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33"/>
    <w:link w:val="45"/>
    <w:uiPriority w:val="99"/>
  </w:style>
  <w:style w:type="paragraph" w:styleId="47">
    <w:name w:val="Caption"/>
    <w:basedOn w:val="632"/>
    <w:next w:val="632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33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32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33"/>
    <w:uiPriority w:val="99"/>
    <w:unhideWhenUsed/>
    <w:rPr>
      <w:vertAlign w:val="superscript"/>
    </w:rPr>
  </w:style>
  <w:style w:type="paragraph" w:styleId="179">
    <w:name w:val="endnote text"/>
    <w:basedOn w:val="632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33"/>
    <w:uiPriority w:val="99"/>
    <w:semiHidden/>
    <w:unhideWhenUsed/>
    <w:rPr>
      <w:vertAlign w:val="superscript"/>
    </w:rPr>
  </w:style>
  <w:style w:type="paragraph" w:styleId="182">
    <w:name w:val="toc 1"/>
    <w:basedOn w:val="632"/>
    <w:next w:val="632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32"/>
    <w:next w:val="632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32"/>
    <w:next w:val="632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32"/>
    <w:next w:val="632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32"/>
    <w:next w:val="632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32"/>
    <w:next w:val="632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32"/>
    <w:next w:val="632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32"/>
    <w:next w:val="632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32"/>
    <w:next w:val="632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32"/>
    <w:next w:val="632"/>
    <w:uiPriority w:val="99"/>
    <w:unhideWhenUsed/>
    <w:pPr>
      <w:spacing w:after="0" w:afterAutospacing="0"/>
    </w:pPr>
  </w:style>
  <w:style w:type="paragraph" w:styleId="632" w:default="1">
    <w:name w:val="Normal"/>
    <w:qFormat/>
  </w:style>
  <w:style w:type="character" w:styleId="633" w:default="1">
    <w:name w:val="Default Paragraph Font"/>
    <w:uiPriority w:val="1"/>
    <w:semiHidden/>
    <w:unhideWhenUsed/>
  </w:style>
  <w:style w:type="table" w:styleId="6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5" w:default="1">
    <w:name w:val="No List"/>
    <w:uiPriority w:val="99"/>
    <w:semiHidden/>
    <w:unhideWhenUsed/>
  </w:style>
  <w:style w:type="character" w:styleId="636" w:customStyle="1">
    <w:name w:val="Основной текст_"/>
    <w:basedOn w:val="633"/>
    <w:link w:val="638"/>
    <w:rPr>
      <w:rFonts w:ascii="Times New Roman" w:hAnsi="Times New Roman" w:eastAsia="Times New Roman" w:cs="Times New Roman"/>
    </w:rPr>
  </w:style>
  <w:style w:type="character" w:styleId="637" w:customStyle="1">
    <w:name w:val="Заголовок №1_"/>
    <w:basedOn w:val="633"/>
    <w:link w:val="639"/>
    <w:rPr>
      <w:rFonts w:ascii="Times New Roman" w:hAnsi="Times New Roman" w:eastAsia="Times New Roman" w:cs="Times New Roman"/>
      <w:b/>
      <w:bCs/>
    </w:rPr>
  </w:style>
  <w:style w:type="paragraph" w:styleId="638" w:customStyle="1">
    <w:name w:val="Основной текст1"/>
    <w:basedOn w:val="632"/>
    <w:link w:val="636"/>
    <w:pPr>
      <w:ind w:firstLine="0"/>
      <w:jc w:val="left"/>
      <w:widowControl w:val="off"/>
    </w:pPr>
    <w:rPr>
      <w:rFonts w:ascii="Times New Roman" w:hAnsi="Times New Roman" w:eastAsia="Times New Roman" w:cs="Times New Roman"/>
    </w:rPr>
  </w:style>
  <w:style w:type="paragraph" w:styleId="639" w:customStyle="1">
    <w:name w:val="Заголовок №1"/>
    <w:basedOn w:val="632"/>
    <w:link w:val="637"/>
    <w:pPr>
      <w:ind w:firstLine="0"/>
      <w:jc w:val="left"/>
      <w:widowControl w:val="off"/>
      <w:outlineLvl w:val="0"/>
    </w:pPr>
    <w:rPr>
      <w:rFonts w:ascii="Times New Roman" w:hAnsi="Times New Roman" w:eastAsia="Times New Roman" w:cs="Times New Roman"/>
      <w:b/>
      <w:bCs/>
    </w:rPr>
  </w:style>
  <w:style w:type="character" w:styleId="640">
    <w:name w:val="Hyperlink"/>
    <w:basedOn w:val="633"/>
    <w:uiPriority w:val="99"/>
    <w:unhideWhenUsed/>
    <w:rPr>
      <w:color w:val="0563c1" w:themeColor="hyperlink"/>
      <w:u w:val="single"/>
    </w:rPr>
  </w:style>
  <w:style w:type="character" w:styleId="641">
    <w:name w:val="Unresolved Mention"/>
    <w:basedOn w:val="633"/>
    <w:uiPriority w:val="99"/>
    <w:semiHidden/>
    <w:unhideWhenUsed/>
    <w:rPr>
      <w:color w:val="605e5c"/>
      <w:shd w:val="clear" w:color="auto" w:fill="e1dfdd"/>
    </w:rPr>
  </w:style>
  <w:style w:type="character" w:styleId="642">
    <w:name w:val="Strong"/>
    <w:basedOn w:val="633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buh@eznan.by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Власенко</dc:creator>
  <cp:keywords/>
  <dc:description/>
  <cp:lastModifiedBy>Надежда Гапанович</cp:lastModifiedBy>
  <cp:revision>20</cp:revision>
  <dcterms:created xsi:type="dcterms:W3CDTF">2026-09-01T08:00:00Z</dcterms:created>
  <dcterms:modified xsi:type="dcterms:W3CDTF">2026-09-08T12:03:59Z</dcterms:modified>
</cp:coreProperties>
</file>