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0F937725" w:rsidR="00B837B9" w:rsidRPr="00173E89" w:rsidRDefault="00B837B9" w:rsidP="00173E89">
      <w:pPr>
        <w:contextualSpacing/>
        <w:mirrorIndents/>
        <w:rPr>
          <w:b/>
          <w:color w:val="000000"/>
        </w:rPr>
      </w:pPr>
      <w:proofErr w:type="spellStart"/>
      <w:r w:rsidRPr="00173E89">
        <w:rPr>
          <w:b/>
          <w:color w:val="000000"/>
        </w:rPr>
        <w:t>ГродМТ</w:t>
      </w:r>
      <w:proofErr w:type="spellEnd"/>
      <w:r w:rsidRPr="00173E89">
        <w:rPr>
          <w:b/>
          <w:color w:val="000000"/>
        </w:rPr>
        <w:t xml:space="preserve"> </w:t>
      </w:r>
      <w:r w:rsidR="00173E89" w:rsidRPr="00173E89">
        <w:rPr>
          <w:b/>
          <w:color w:val="000000"/>
          <w:lang w:val="en-US"/>
        </w:rPr>
        <w:t>614</w:t>
      </w:r>
      <w:r w:rsidRPr="00173E89">
        <w:rPr>
          <w:b/>
          <w:color w:val="000000"/>
        </w:rPr>
        <w:t>/2</w:t>
      </w:r>
      <w:r w:rsidR="00F43F2C" w:rsidRPr="00173E89">
        <w:rPr>
          <w:b/>
          <w:color w:val="000000"/>
        </w:rPr>
        <w:t>6</w:t>
      </w:r>
      <w:r w:rsidRPr="00173E89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173E89" w:rsidRDefault="00B837B9" w:rsidP="00173E89">
      <w:pPr>
        <w:contextualSpacing/>
        <w:mirrorIndents/>
        <w:jc w:val="center"/>
      </w:pPr>
    </w:p>
    <w:p w14:paraId="51F825EF" w14:textId="77777777" w:rsidR="00B837B9" w:rsidRPr="00173E89" w:rsidRDefault="00B837B9" w:rsidP="00173E89">
      <w:pPr>
        <w:contextualSpacing/>
        <w:mirrorIndents/>
        <w:jc w:val="center"/>
        <w:rPr>
          <w:b/>
        </w:rPr>
      </w:pPr>
      <w:r w:rsidRPr="00173E89">
        <w:tab/>
      </w:r>
      <w:r w:rsidRPr="00173E8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173E89" w:rsidRDefault="00B837B9" w:rsidP="00173E89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2E7AC433" w14:textId="1894FAB8" w:rsidR="00173E89" w:rsidRPr="00173E89" w:rsidRDefault="00173E89" w:rsidP="00173E89">
      <w:pPr>
        <w:contextualSpacing/>
        <w:mirrorIndents/>
        <w:jc w:val="center"/>
        <w:rPr>
          <w:b/>
        </w:rPr>
      </w:pPr>
      <w:r w:rsidRPr="00173E89">
        <w:rPr>
          <w:b/>
        </w:rPr>
        <w:t>Лот 1</w:t>
      </w:r>
      <w:r w:rsidRPr="00173E89">
        <w:t xml:space="preserve"> </w:t>
      </w:r>
      <w:r w:rsidRPr="00173E89">
        <w:rPr>
          <w:b/>
        </w:rPr>
        <w:t>Комплект наборов реагентов для выполнения анализа газов и электролитов крови на портативном автоматическом анализаторе</w:t>
      </w:r>
    </w:p>
    <w:p w14:paraId="5C6DB910" w14:textId="77777777" w:rsidR="00173E89" w:rsidRPr="00173E89" w:rsidRDefault="00173E89" w:rsidP="00173E89">
      <w:pPr>
        <w:contextualSpacing/>
        <w:mirrorIndents/>
        <w:rPr>
          <w:b/>
        </w:rPr>
      </w:pPr>
    </w:p>
    <w:p w14:paraId="61894CAF" w14:textId="50B05AB7" w:rsidR="00173E89" w:rsidRPr="00173E89" w:rsidRDefault="00173E89" w:rsidP="00173E89">
      <w:pPr>
        <w:contextualSpacing/>
        <w:mirrorIndents/>
        <w:jc w:val="both"/>
        <w:rPr>
          <w:b/>
          <w:bCs/>
        </w:rPr>
      </w:pPr>
      <w:r w:rsidRPr="00173E89">
        <w:rPr>
          <w:b/>
          <w:bCs/>
        </w:rPr>
        <w:t>1. Со</w:t>
      </w:r>
      <w:r w:rsidRPr="00173E89">
        <w:rPr>
          <w:b/>
          <w:bCs/>
          <w:lang w:val="en-US"/>
        </w:rPr>
        <w:t>c</w:t>
      </w:r>
      <w:proofErr w:type="spellStart"/>
      <w:r w:rsidRPr="00173E89">
        <w:rPr>
          <w:b/>
          <w:bCs/>
        </w:rPr>
        <w:t>тав</w:t>
      </w:r>
      <w:proofErr w:type="spellEnd"/>
      <w:r w:rsidRPr="00173E89">
        <w:rPr>
          <w:b/>
          <w:bCs/>
        </w:rPr>
        <w:t xml:space="preserve"> (комплектация) медицинских изделий:</w:t>
      </w:r>
      <w:r w:rsidRPr="00173E89">
        <w:rPr>
          <w:b/>
          <w:bCs/>
        </w:rPr>
        <w:tab/>
      </w:r>
      <w:r w:rsidRPr="00173E89">
        <w:rPr>
          <w:b/>
          <w:bCs/>
        </w:rPr>
        <w:tab/>
      </w:r>
    </w:p>
    <w:tbl>
      <w:tblPr>
        <w:tblStyle w:val="ac"/>
        <w:tblW w:w="9782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4536"/>
        <w:gridCol w:w="1418"/>
        <w:gridCol w:w="1276"/>
      </w:tblGrid>
      <w:tr w:rsidR="00173E89" w:rsidRPr="00173E89" w14:paraId="0E4561DB" w14:textId="77777777" w:rsidTr="00173E89">
        <w:tc>
          <w:tcPr>
            <w:tcW w:w="568" w:type="dxa"/>
            <w:hideMark/>
          </w:tcPr>
          <w:p w14:paraId="6B4FD254" w14:textId="26632F53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№ п</w:t>
            </w:r>
            <w:r w:rsidRPr="00173E89">
              <w:rPr>
                <w:b/>
                <w:bCs/>
                <w:lang w:val="en-US" w:eastAsia="en-US"/>
              </w:rPr>
              <w:t>/</w:t>
            </w:r>
            <w:r w:rsidRPr="00173E89">
              <w:rPr>
                <w:b/>
                <w:bCs/>
                <w:lang w:eastAsia="en-US"/>
              </w:rPr>
              <w:t>п</w:t>
            </w:r>
          </w:p>
        </w:tc>
        <w:tc>
          <w:tcPr>
            <w:tcW w:w="1984" w:type="dxa"/>
            <w:hideMark/>
          </w:tcPr>
          <w:p w14:paraId="7044CAE9" w14:textId="77777777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Наименование</w:t>
            </w:r>
          </w:p>
        </w:tc>
        <w:tc>
          <w:tcPr>
            <w:tcW w:w="4536" w:type="dxa"/>
            <w:hideMark/>
          </w:tcPr>
          <w:p w14:paraId="1A294A27" w14:textId="77777777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Базовые требования</w:t>
            </w:r>
          </w:p>
        </w:tc>
        <w:tc>
          <w:tcPr>
            <w:tcW w:w="1418" w:type="dxa"/>
            <w:hideMark/>
          </w:tcPr>
          <w:p w14:paraId="3D0E773C" w14:textId="77777777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Единица</w:t>
            </w:r>
          </w:p>
          <w:p w14:paraId="6F01140F" w14:textId="77777777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измерения</w:t>
            </w:r>
          </w:p>
        </w:tc>
        <w:tc>
          <w:tcPr>
            <w:tcW w:w="1276" w:type="dxa"/>
            <w:hideMark/>
          </w:tcPr>
          <w:p w14:paraId="176B666F" w14:textId="77777777" w:rsidR="00173E89" w:rsidRPr="00173E89" w:rsidRDefault="00173E89" w:rsidP="00173E89">
            <w:pPr>
              <w:contextualSpacing/>
              <w:mirrorIndents/>
              <w:jc w:val="center"/>
              <w:rPr>
                <w:b/>
                <w:bCs/>
                <w:lang w:eastAsia="en-US"/>
              </w:rPr>
            </w:pPr>
            <w:r w:rsidRPr="00173E89">
              <w:rPr>
                <w:b/>
                <w:bCs/>
                <w:lang w:eastAsia="en-US"/>
              </w:rPr>
              <w:t>Количество</w:t>
            </w:r>
          </w:p>
        </w:tc>
      </w:tr>
      <w:tr w:rsidR="00173E89" w:rsidRPr="00173E89" w14:paraId="6655C6C2" w14:textId="77777777" w:rsidTr="00173E89">
        <w:tc>
          <w:tcPr>
            <w:tcW w:w="568" w:type="dxa"/>
          </w:tcPr>
          <w:p w14:paraId="16C7C483" w14:textId="77777777" w:rsidR="00173E89" w:rsidRPr="00173E89" w:rsidRDefault="00173E89" w:rsidP="00173E89">
            <w:pPr>
              <w:pStyle w:val="af1"/>
              <w:contextualSpacing/>
              <w:mirrorIndents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Pr="00173E89"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84" w:type="dxa"/>
          </w:tcPr>
          <w:p w14:paraId="08CA80AD" w14:textId="77777777" w:rsidR="00173E89" w:rsidRPr="00173E89" w:rsidRDefault="00173E89" w:rsidP="00173E89">
            <w:pPr>
              <w:pStyle w:val="af1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73E89">
              <w:rPr>
                <w:rFonts w:ascii="Times New Roman" w:hAnsi="Times New Roman"/>
                <w:sz w:val="24"/>
                <w:szCs w:val="24"/>
              </w:rPr>
              <w:t>Картридж для выполнения исследований</w:t>
            </w:r>
          </w:p>
        </w:tc>
        <w:tc>
          <w:tcPr>
            <w:tcW w:w="4536" w:type="dxa"/>
          </w:tcPr>
          <w:p w14:paraId="5BB73155" w14:textId="77777777" w:rsidR="00173E89" w:rsidRPr="00173E89" w:rsidRDefault="00173E89" w:rsidP="00173E89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Определение не менее 10 параметров, включая рН, рСО</w:t>
            </w:r>
            <w:r w:rsidRPr="00173E89">
              <w:rPr>
                <w:rStyle w:val="FontStyle18"/>
                <w:sz w:val="24"/>
                <w:szCs w:val="24"/>
                <w:vertAlign w:val="subscript"/>
              </w:rPr>
              <w:t>2</w:t>
            </w:r>
            <w:r w:rsidRPr="00173E89">
              <w:rPr>
                <w:rStyle w:val="FontStyle18"/>
                <w:sz w:val="24"/>
                <w:szCs w:val="24"/>
              </w:rPr>
              <w:t>, рО</w:t>
            </w:r>
            <w:r w:rsidRPr="00173E89">
              <w:rPr>
                <w:rStyle w:val="FontStyle18"/>
                <w:sz w:val="24"/>
                <w:szCs w:val="24"/>
                <w:vertAlign w:val="subscript"/>
              </w:rPr>
              <w:t>2</w:t>
            </w:r>
            <w:r w:rsidRPr="00173E89">
              <w:rPr>
                <w:rStyle w:val="FontStyle18"/>
                <w:sz w:val="24"/>
                <w:szCs w:val="24"/>
              </w:rPr>
              <w:t>, К</w:t>
            </w:r>
            <w:r w:rsidRPr="00173E89">
              <w:rPr>
                <w:rStyle w:val="FontStyle18"/>
                <w:sz w:val="24"/>
                <w:szCs w:val="24"/>
                <w:vertAlign w:val="superscript"/>
              </w:rPr>
              <w:t>+</w:t>
            </w:r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r w:rsidRPr="00173E89">
              <w:rPr>
                <w:rStyle w:val="FontStyle18"/>
                <w:sz w:val="24"/>
                <w:szCs w:val="24"/>
                <w:lang w:val="en-US"/>
              </w:rPr>
              <w:t>N</w:t>
            </w:r>
            <w:r w:rsidRPr="00173E89">
              <w:rPr>
                <w:rStyle w:val="FontStyle18"/>
                <w:sz w:val="24"/>
                <w:szCs w:val="24"/>
              </w:rPr>
              <w:t>а</w:t>
            </w:r>
            <w:r w:rsidRPr="00173E89">
              <w:rPr>
                <w:rStyle w:val="FontStyle18"/>
                <w:sz w:val="24"/>
                <w:szCs w:val="24"/>
                <w:vertAlign w:val="superscript"/>
              </w:rPr>
              <w:t>+</w:t>
            </w:r>
            <w:r w:rsidRPr="00173E89">
              <w:rPr>
                <w:rStyle w:val="FontStyle18"/>
                <w:sz w:val="24"/>
                <w:szCs w:val="24"/>
              </w:rPr>
              <w:t>, Са</w:t>
            </w:r>
            <w:r w:rsidRPr="00173E89">
              <w:rPr>
                <w:rStyle w:val="FontStyle18"/>
                <w:sz w:val="24"/>
                <w:szCs w:val="24"/>
                <w:vertAlign w:val="superscript"/>
              </w:rPr>
              <w:t>++</w:t>
            </w:r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r w:rsidRPr="00173E89">
              <w:rPr>
                <w:rStyle w:val="FontStyle18"/>
                <w:sz w:val="24"/>
                <w:szCs w:val="24"/>
                <w:lang w:val="en-US"/>
              </w:rPr>
              <w:t>Cl</w:t>
            </w:r>
            <w:r w:rsidRPr="00173E89">
              <w:rPr>
                <w:rStyle w:val="FontStyle18"/>
                <w:sz w:val="24"/>
                <w:szCs w:val="24"/>
                <w:vertAlign w:val="superscript"/>
              </w:rPr>
              <w:t>-</w:t>
            </w:r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r w:rsidRPr="00173E89">
              <w:rPr>
                <w:rStyle w:val="FontStyle18"/>
                <w:sz w:val="24"/>
                <w:szCs w:val="24"/>
                <w:lang w:val="en-US"/>
              </w:rPr>
              <w:t>Hct</w:t>
            </w:r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r w:rsidRPr="00173E89">
              <w:rPr>
                <w:rStyle w:val="FontStyle18"/>
                <w:sz w:val="24"/>
                <w:szCs w:val="24"/>
                <w:lang w:val="en-US"/>
              </w:rPr>
              <w:t>Glu</w:t>
            </w:r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r w:rsidRPr="00173E89">
              <w:rPr>
                <w:rStyle w:val="FontStyle18"/>
                <w:sz w:val="24"/>
                <w:szCs w:val="24"/>
                <w:lang w:val="en-US"/>
              </w:rPr>
              <w:t>Lac</w:t>
            </w:r>
            <w:r w:rsidRPr="00173E89">
              <w:rPr>
                <w:rStyle w:val="FontStyle18"/>
                <w:sz w:val="24"/>
                <w:szCs w:val="24"/>
              </w:rPr>
              <w:t>.</w:t>
            </w:r>
          </w:p>
          <w:p w14:paraId="1DEC6478" w14:textId="77777777" w:rsidR="00173E89" w:rsidRPr="00173E89" w:rsidRDefault="00173E89" w:rsidP="00173E89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Срок годности тест-картриджа – не менее 6 месяцев.</w:t>
            </w:r>
          </w:p>
          <w:p w14:paraId="10D71A3A" w14:textId="77777777" w:rsidR="00173E89" w:rsidRPr="00173E89" w:rsidRDefault="00173E89" w:rsidP="00173E89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Срок стабильности на борту не менее 21 день.</w:t>
            </w:r>
          </w:p>
          <w:p w14:paraId="2715D340" w14:textId="77777777" w:rsidR="00173E89" w:rsidRPr="00173E89" w:rsidRDefault="00173E89" w:rsidP="00173E89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Количество тестов: не более 60 тестов.</w:t>
            </w:r>
          </w:p>
          <w:p w14:paraId="0B56103A" w14:textId="77777777" w:rsidR="00173E89" w:rsidRPr="00173E89" w:rsidRDefault="00173E89" w:rsidP="00173E89">
            <w:pPr>
              <w:pStyle w:val="a7"/>
              <w:numPr>
                <w:ilvl w:val="0"/>
                <w:numId w:val="33"/>
              </w:numPr>
              <w:ind w:left="0" w:firstLine="0"/>
              <w:mirrorIndents/>
              <w:rPr>
                <w:color w:val="000000"/>
              </w:rPr>
            </w:pPr>
            <w:r w:rsidRPr="00173E89">
              <w:rPr>
                <w:rStyle w:val="FontStyle18"/>
                <w:sz w:val="24"/>
                <w:szCs w:val="24"/>
              </w:rPr>
              <w:t>Калибратор, чистящий раствор и пакет для сбора биологически опасных отходов должен быть внутри картриджа.</w:t>
            </w:r>
          </w:p>
        </w:tc>
        <w:tc>
          <w:tcPr>
            <w:tcW w:w="1418" w:type="dxa"/>
          </w:tcPr>
          <w:p w14:paraId="7FB9299A" w14:textId="77777777" w:rsidR="00173E89" w:rsidRPr="00173E89" w:rsidRDefault="00173E89" w:rsidP="00173E89">
            <w:pPr>
              <w:pStyle w:val="af1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76" w:type="dxa"/>
          </w:tcPr>
          <w:p w14:paraId="7D7E0369" w14:textId="77777777" w:rsidR="00173E89" w:rsidRPr="00173E89" w:rsidRDefault="00173E89" w:rsidP="00173E89">
            <w:pPr>
              <w:pStyle w:val="af1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73E89" w:rsidRPr="00173E89" w14:paraId="4361A649" w14:textId="77777777" w:rsidTr="00173E89">
        <w:tc>
          <w:tcPr>
            <w:tcW w:w="568" w:type="dxa"/>
          </w:tcPr>
          <w:p w14:paraId="03B6E4CF" w14:textId="77777777" w:rsidR="00173E89" w:rsidRPr="00173E89" w:rsidRDefault="00173E89" w:rsidP="00173E89">
            <w:pPr>
              <w:pStyle w:val="af1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984" w:type="dxa"/>
          </w:tcPr>
          <w:p w14:paraId="1A7494FF" w14:textId="77777777" w:rsidR="00173E89" w:rsidRPr="00173E89" w:rsidRDefault="00173E89" w:rsidP="00173E89">
            <w:pPr>
              <w:contextualSpacing/>
              <w:mirrorIndents/>
            </w:pPr>
            <w:r w:rsidRPr="00173E89">
              <w:rPr>
                <w:lang w:val="be-BY"/>
              </w:rPr>
              <w:t>Контрольный матер</w:t>
            </w:r>
            <w:r w:rsidRPr="00173E89">
              <w:t>и</w:t>
            </w:r>
            <w:r w:rsidRPr="00173E89">
              <w:rPr>
                <w:lang w:val="be-BY"/>
              </w:rPr>
              <w:t>ал</w:t>
            </w:r>
          </w:p>
        </w:tc>
        <w:tc>
          <w:tcPr>
            <w:tcW w:w="4536" w:type="dxa"/>
          </w:tcPr>
          <w:p w14:paraId="0584AC2B" w14:textId="77777777" w:rsidR="00173E89" w:rsidRPr="00173E89" w:rsidRDefault="00173E89" w:rsidP="00173E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1.</w:t>
            </w:r>
            <w:r w:rsidRPr="00173E89">
              <w:rPr>
                <w:rStyle w:val="FontStyle18"/>
                <w:sz w:val="24"/>
                <w:szCs w:val="24"/>
              </w:rPr>
              <w:tab/>
              <w:t xml:space="preserve">Обеспечение контроля качества измерений перечисленных параметров: рН, рСО2, рО2, К+, </w:t>
            </w:r>
            <w:proofErr w:type="spellStart"/>
            <w:r w:rsidRPr="00173E89">
              <w:rPr>
                <w:rStyle w:val="FontStyle18"/>
                <w:sz w:val="24"/>
                <w:szCs w:val="24"/>
              </w:rPr>
              <w:t>Nа</w:t>
            </w:r>
            <w:proofErr w:type="spellEnd"/>
            <w:r w:rsidRPr="00173E89">
              <w:rPr>
                <w:rStyle w:val="FontStyle18"/>
                <w:sz w:val="24"/>
                <w:szCs w:val="24"/>
              </w:rPr>
              <w:t xml:space="preserve">+, Са++, </w:t>
            </w:r>
            <w:proofErr w:type="spellStart"/>
            <w:r w:rsidRPr="00173E89">
              <w:rPr>
                <w:rStyle w:val="FontStyle18"/>
                <w:sz w:val="24"/>
                <w:szCs w:val="24"/>
              </w:rPr>
              <w:t>Cl</w:t>
            </w:r>
            <w:proofErr w:type="spellEnd"/>
            <w:r w:rsidRPr="00173E89">
              <w:rPr>
                <w:rStyle w:val="FontStyle18"/>
                <w:sz w:val="24"/>
                <w:szCs w:val="24"/>
              </w:rPr>
              <w:t xml:space="preserve">-, </w:t>
            </w:r>
            <w:proofErr w:type="spellStart"/>
            <w:r w:rsidRPr="00173E89">
              <w:rPr>
                <w:rStyle w:val="FontStyle18"/>
                <w:sz w:val="24"/>
                <w:szCs w:val="24"/>
              </w:rPr>
              <w:t>Glu</w:t>
            </w:r>
            <w:proofErr w:type="spellEnd"/>
            <w:r w:rsidRPr="00173E89">
              <w:rPr>
                <w:rStyle w:val="FontStyle18"/>
                <w:sz w:val="24"/>
                <w:szCs w:val="24"/>
              </w:rPr>
              <w:t xml:space="preserve">, </w:t>
            </w:r>
            <w:proofErr w:type="spellStart"/>
            <w:r w:rsidRPr="00173E89">
              <w:rPr>
                <w:rStyle w:val="FontStyle18"/>
                <w:sz w:val="24"/>
                <w:szCs w:val="24"/>
              </w:rPr>
              <w:t>Lac</w:t>
            </w:r>
            <w:proofErr w:type="spellEnd"/>
            <w:r w:rsidRPr="00173E89">
              <w:rPr>
                <w:rStyle w:val="FontStyle18"/>
                <w:sz w:val="24"/>
                <w:szCs w:val="24"/>
              </w:rPr>
              <w:t>.</w:t>
            </w:r>
          </w:p>
          <w:p w14:paraId="4DCDA392" w14:textId="77777777" w:rsidR="00173E89" w:rsidRPr="00173E89" w:rsidRDefault="00173E89" w:rsidP="00173E89">
            <w:pPr>
              <w:pStyle w:val="af1"/>
              <w:contextualSpacing/>
              <w:mirrorIndents/>
              <w:rPr>
                <w:rStyle w:val="FontStyle18"/>
                <w:sz w:val="24"/>
                <w:szCs w:val="24"/>
              </w:rPr>
            </w:pPr>
            <w:r w:rsidRPr="00173E89">
              <w:rPr>
                <w:rStyle w:val="FontStyle18"/>
                <w:sz w:val="24"/>
                <w:szCs w:val="24"/>
              </w:rPr>
              <w:t>2.</w:t>
            </w:r>
            <w:r w:rsidRPr="00173E89">
              <w:rPr>
                <w:rStyle w:val="FontStyle18"/>
                <w:sz w:val="24"/>
                <w:szCs w:val="24"/>
              </w:rPr>
              <w:tab/>
              <w:t>Трехуровневый контроль: 10 ампул по 3 уровня.</w:t>
            </w:r>
          </w:p>
          <w:p w14:paraId="6508E97C" w14:textId="77777777" w:rsidR="00173E89" w:rsidRPr="00173E89" w:rsidRDefault="00173E89" w:rsidP="00173E89">
            <w:pPr>
              <w:pStyle w:val="af1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Style w:val="FontStyle18"/>
                <w:sz w:val="24"/>
                <w:szCs w:val="24"/>
              </w:rPr>
              <w:t>3.</w:t>
            </w:r>
            <w:r w:rsidRPr="00173E89">
              <w:rPr>
                <w:rStyle w:val="FontStyle18"/>
                <w:sz w:val="24"/>
                <w:szCs w:val="24"/>
              </w:rPr>
              <w:tab/>
              <w:t>Сроки годности не менее 11 мес.</w:t>
            </w:r>
          </w:p>
        </w:tc>
        <w:tc>
          <w:tcPr>
            <w:tcW w:w="1418" w:type="dxa"/>
          </w:tcPr>
          <w:p w14:paraId="21F224E6" w14:textId="77777777" w:rsidR="00173E89" w:rsidRPr="00173E89" w:rsidRDefault="00173E89" w:rsidP="00173E89">
            <w:pPr>
              <w:pStyle w:val="af1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набор</w:t>
            </w:r>
          </w:p>
        </w:tc>
        <w:tc>
          <w:tcPr>
            <w:tcW w:w="1276" w:type="dxa"/>
          </w:tcPr>
          <w:p w14:paraId="617E3FC7" w14:textId="77777777" w:rsidR="00173E89" w:rsidRPr="00173E89" w:rsidRDefault="00173E89" w:rsidP="00173E89">
            <w:pPr>
              <w:pStyle w:val="af1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3E8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14351511" w14:textId="77777777" w:rsidR="00173E89" w:rsidRPr="00173E89" w:rsidRDefault="00173E89" w:rsidP="00173E89">
      <w:pPr>
        <w:contextualSpacing/>
        <w:mirrorIndents/>
        <w:jc w:val="both"/>
        <w:rPr>
          <w:b/>
        </w:rPr>
      </w:pPr>
    </w:p>
    <w:p w14:paraId="5375D8C8" w14:textId="77777777" w:rsidR="00173E89" w:rsidRPr="00173E89" w:rsidRDefault="00173E89" w:rsidP="00173E89">
      <w:pPr>
        <w:contextualSpacing/>
        <w:mirrorIndents/>
        <w:jc w:val="both"/>
        <w:rPr>
          <w:b/>
        </w:rPr>
      </w:pPr>
      <w:r w:rsidRPr="00173E89">
        <w:rPr>
          <w:b/>
        </w:rPr>
        <w:t xml:space="preserve">2.Технические характеристики: </w:t>
      </w:r>
    </w:p>
    <w:p w14:paraId="6B0A65EB" w14:textId="77777777" w:rsidR="00173E89" w:rsidRPr="00173E89" w:rsidRDefault="00173E89" w:rsidP="00173E89">
      <w:pPr>
        <w:contextualSpacing/>
        <w:mirrorIndents/>
        <w:jc w:val="both"/>
        <w:rPr>
          <w:bCs/>
        </w:rPr>
      </w:pPr>
      <w:r w:rsidRPr="00173E89">
        <w:rPr>
          <w:bCs/>
        </w:rPr>
        <w:t xml:space="preserve">2.1. Предлагаемые реагенты и контрольные материалы </w:t>
      </w:r>
      <w:r w:rsidRPr="00173E89">
        <w:t>должны быть предназначены для применения/совместимы в работе с портативным автоматическим анализатором газов крови, поставляемым по договору безвозмездного пользования имуществом</w:t>
      </w:r>
      <w:r w:rsidRPr="00173E89">
        <w:rPr>
          <w:bCs/>
        </w:rPr>
        <w:t>, в соответствии с руководством по эксплуатации медицинского оборудования, иными документами от производителя медицинского оборудования, где описано какие реагенты, калибровочные, контрольные и расходные материалы должны использоваться в работе с медицинским оборудованием, с документальным подтверждением от изготовителя (производителя) на русском языке.</w:t>
      </w:r>
    </w:p>
    <w:p w14:paraId="08F4CC7B" w14:textId="77777777" w:rsidR="00173E89" w:rsidRPr="00173E89" w:rsidRDefault="00173E89" w:rsidP="00173E89">
      <w:pPr>
        <w:contextualSpacing/>
        <w:mirrorIndents/>
        <w:jc w:val="both"/>
        <w:rPr>
          <w:bCs/>
        </w:rPr>
      </w:pPr>
      <w:r w:rsidRPr="00173E89">
        <w:t>2.2. Технические требования к портативному автоматическому анализатору газов и электролитов крови, поставляемому по договору безвозмездного временного пользования (или по договору безвозмездной передачи имущества)</w:t>
      </w:r>
      <w:r w:rsidRPr="00173E89">
        <w:rPr>
          <w:bCs/>
        </w:rPr>
        <w:t>:</w:t>
      </w:r>
    </w:p>
    <w:p w14:paraId="32553193" w14:textId="77777777" w:rsidR="00173E89" w:rsidRPr="00173E89" w:rsidRDefault="00173E89" w:rsidP="00173E89">
      <w:pPr>
        <w:contextualSpacing/>
        <w:mirrorIndents/>
        <w:jc w:val="both"/>
        <w:rPr>
          <w:b/>
        </w:rPr>
      </w:pPr>
      <w:r w:rsidRPr="00173E89">
        <w:t xml:space="preserve">2.2.1 Портативный анализатор должен быть </w:t>
      </w:r>
      <w:proofErr w:type="spellStart"/>
      <w:r w:rsidRPr="00173E89">
        <w:t>картриджного</w:t>
      </w:r>
      <w:proofErr w:type="spellEnd"/>
      <w:r w:rsidRPr="00173E89">
        <w:t xml:space="preserve"> типа (в состав картриджа должны входить необходимые растворы, датчики, пробоотборник и пакет для отходов).</w:t>
      </w:r>
    </w:p>
    <w:p w14:paraId="095B924C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t>2.2.2 Типы исследуемых образцов: капиллярная, венозная, артериальная цельная кровь.</w:t>
      </w:r>
    </w:p>
    <w:p w14:paraId="19082270" w14:textId="77777777" w:rsidR="00173E89" w:rsidRPr="00173E89" w:rsidRDefault="00173E89" w:rsidP="00173E89">
      <w:pPr>
        <w:contextualSpacing/>
        <w:mirrorIndents/>
        <w:jc w:val="both"/>
      </w:pPr>
      <w:r w:rsidRPr="00173E89">
        <w:t>2.2.3 Полностью автоматизированный цикл исследований КОС от момента аспирации пробы до распечатки результата.</w:t>
      </w:r>
    </w:p>
    <w:p w14:paraId="681DD856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t>2.2.4 Встроенная память более 100 000 тестов с целью хранения результатов выполненных исследований.</w:t>
      </w:r>
    </w:p>
    <w:p w14:paraId="5C01372E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t>2.2.5 Готовность к работе в круглосуточном режиме.</w:t>
      </w:r>
    </w:p>
    <w:p w14:paraId="35AEB4AE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lastRenderedPageBreak/>
        <w:t>2.2.6* Наличие подзаряжаемого литий-ионного аккумулятора для проведения не менее 50 тестов.</w:t>
      </w:r>
    </w:p>
    <w:p w14:paraId="0A56504E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t>2.2.7 Для обеспечения портативности масса прибора с учетом аккумулятора не должна превышать 10 кг, анализатор должен быть оснащен ручкой для переноски.</w:t>
      </w:r>
    </w:p>
    <w:p w14:paraId="2C5372B0" w14:textId="77777777" w:rsidR="00173E89" w:rsidRPr="00173E89" w:rsidRDefault="00173E89" w:rsidP="00173E89">
      <w:pPr>
        <w:pStyle w:val="NoSpacing1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73E89">
        <w:rPr>
          <w:rFonts w:ascii="Times New Roman" w:hAnsi="Times New Roman"/>
          <w:sz w:val="24"/>
          <w:szCs w:val="24"/>
        </w:rPr>
        <w:t>2.2.8 Наличие встроенного термопринтера с термочувствительной бумагой; встроенный/внешний сканер штрих-кода.</w:t>
      </w:r>
    </w:p>
    <w:p w14:paraId="1863A62D" w14:textId="77777777" w:rsidR="00173E89" w:rsidRPr="00173E89" w:rsidRDefault="00173E89" w:rsidP="00173E89">
      <w:pPr>
        <w:pStyle w:val="NoSpacing1"/>
        <w:contextualSpacing/>
        <w:mirrorIndents/>
        <w:rPr>
          <w:rFonts w:ascii="Times New Roman" w:hAnsi="Times New Roman"/>
          <w:sz w:val="24"/>
          <w:szCs w:val="24"/>
        </w:rPr>
      </w:pPr>
    </w:p>
    <w:p w14:paraId="41EAD6D4" w14:textId="77777777" w:rsidR="00173E89" w:rsidRPr="00173E89" w:rsidRDefault="00173E89" w:rsidP="00173E89">
      <w:pPr>
        <w:contextualSpacing/>
        <w:mirrorIndents/>
        <w:jc w:val="both"/>
        <w:rPr>
          <w:b/>
        </w:rPr>
      </w:pPr>
      <w:r w:rsidRPr="00173E89">
        <w:rPr>
          <w:i/>
        </w:rPr>
        <w:t>Примечание:</w:t>
      </w:r>
      <w:r w:rsidRPr="00173E89">
        <w:t xml:space="preserve"> пункты, отмеченные </w:t>
      </w:r>
      <w:proofErr w:type="spellStart"/>
      <w:r w:rsidRPr="00173E89">
        <w:t>астериксом</w:t>
      </w:r>
      <w:proofErr w:type="spellEnd"/>
      <w:r w:rsidRPr="00173E89">
        <w:t xml:space="preserve"> *, являются принципиальными и обязательными к исполнению. При несоответствии предложения данным пунктам предложение участника не рассматривается</w:t>
      </w:r>
    </w:p>
    <w:p w14:paraId="45A37FCB" w14:textId="203F10F8" w:rsidR="00481D68" w:rsidRPr="00173E89" w:rsidRDefault="00EE2F49" w:rsidP="00173E89">
      <w:pPr>
        <w:tabs>
          <w:tab w:val="left" w:pos="6804"/>
        </w:tabs>
        <w:contextualSpacing/>
        <w:mirrorIndents/>
        <w:jc w:val="center"/>
        <w:rPr>
          <w:b/>
        </w:rPr>
      </w:pPr>
      <w:r w:rsidRPr="00173E89">
        <w:rPr>
          <w:b/>
          <w:bCs/>
        </w:rPr>
        <w:t xml:space="preserve"> </w:t>
      </w:r>
    </w:p>
    <w:p w14:paraId="7A0808FF" w14:textId="77777777" w:rsidR="00481D68" w:rsidRPr="00173E89" w:rsidRDefault="00481D68" w:rsidP="00173E89">
      <w:pPr>
        <w:tabs>
          <w:tab w:val="left" w:pos="6804"/>
        </w:tabs>
        <w:contextualSpacing/>
        <w:mirrorIndents/>
        <w:jc w:val="center"/>
      </w:pPr>
    </w:p>
    <w:p w14:paraId="6A8EDB8A" w14:textId="77777777" w:rsidR="00EE2F49" w:rsidRPr="00173E89" w:rsidRDefault="00EE2F49" w:rsidP="00173E89">
      <w:pPr>
        <w:tabs>
          <w:tab w:val="left" w:pos="6804"/>
        </w:tabs>
        <w:contextualSpacing/>
        <w:mirrorIndents/>
        <w:jc w:val="center"/>
      </w:pPr>
    </w:p>
    <w:sectPr w:rsidR="00EE2F49" w:rsidRPr="0017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B9C6008"/>
    <w:multiLevelType w:val="hybridMultilevel"/>
    <w:tmpl w:val="0256D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2"/>
  </w:num>
  <w:num w:numId="2" w16cid:durableId="1068772224">
    <w:abstractNumId w:val="11"/>
  </w:num>
  <w:num w:numId="3" w16cid:durableId="1643584877">
    <w:abstractNumId w:val="10"/>
  </w:num>
  <w:num w:numId="4" w16cid:durableId="735517428">
    <w:abstractNumId w:val="8"/>
  </w:num>
  <w:num w:numId="5" w16cid:durableId="1848055832">
    <w:abstractNumId w:val="23"/>
  </w:num>
  <w:num w:numId="6" w16cid:durableId="660740551">
    <w:abstractNumId w:val="14"/>
  </w:num>
  <w:num w:numId="7" w16cid:durableId="1092777575">
    <w:abstractNumId w:val="9"/>
  </w:num>
  <w:num w:numId="8" w16cid:durableId="1927692342">
    <w:abstractNumId w:val="25"/>
  </w:num>
  <w:num w:numId="9" w16cid:durableId="814296524">
    <w:abstractNumId w:val="18"/>
  </w:num>
  <w:num w:numId="10" w16cid:durableId="565147272">
    <w:abstractNumId w:val="26"/>
  </w:num>
  <w:num w:numId="11" w16cid:durableId="872495249">
    <w:abstractNumId w:val="7"/>
  </w:num>
  <w:num w:numId="12" w16cid:durableId="951714107">
    <w:abstractNumId w:val="1"/>
  </w:num>
  <w:num w:numId="13" w16cid:durableId="1998147484">
    <w:abstractNumId w:val="27"/>
  </w:num>
  <w:num w:numId="14" w16cid:durableId="558707266">
    <w:abstractNumId w:val="28"/>
  </w:num>
  <w:num w:numId="15" w16cid:durableId="1439637063">
    <w:abstractNumId w:val="29"/>
  </w:num>
  <w:num w:numId="16" w16cid:durableId="531305385">
    <w:abstractNumId w:val="20"/>
  </w:num>
  <w:num w:numId="17" w16cid:durableId="154302379">
    <w:abstractNumId w:val="4"/>
  </w:num>
  <w:num w:numId="18" w16cid:durableId="309941855">
    <w:abstractNumId w:val="32"/>
  </w:num>
  <w:num w:numId="19" w16cid:durableId="708990182">
    <w:abstractNumId w:val="5"/>
  </w:num>
  <w:num w:numId="20" w16cid:durableId="1503819094">
    <w:abstractNumId w:val="3"/>
  </w:num>
  <w:num w:numId="21" w16cid:durableId="1632664673">
    <w:abstractNumId w:val="30"/>
  </w:num>
  <w:num w:numId="22" w16cid:durableId="1509523383">
    <w:abstractNumId w:val="17"/>
  </w:num>
  <w:num w:numId="23" w16cid:durableId="1915508707">
    <w:abstractNumId w:val="12"/>
  </w:num>
  <w:num w:numId="24" w16cid:durableId="1596667615">
    <w:abstractNumId w:val="24"/>
  </w:num>
  <w:num w:numId="25" w16cid:durableId="512963947">
    <w:abstractNumId w:val="22"/>
  </w:num>
  <w:num w:numId="26" w16cid:durableId="484206257">
    <w:abstractNumId w:val="31"/>
  </w:num>
  <w:num w:numId="27" w16cid:durableId="835610398">
    <w:abstractNumId w:val="6"/>
  </w:num>
  <w:num w:numId="28" w16cid:durableId="1138035907">
    <w:abstractNumId w:val="13"/>
  </w:num>
  <w:num w:numId="29" w16cid:durableId="186411525">
    <w:abstractNumId w:val="16"/>
  </w:num>
  <w:num w:numId="30" w16cid:durableId="199709648">
    <w:abstractNumId w:val="15"/>
  </w:num>
  <w:num w:numId="31" w16cid:durableId="1161894654">
    <w:abstractNumId w:val="19"/>
  </w:num>
  <w:num w:numId="32" w16cid:durableId="108284501">
    <w:abstractNumId w:val="0"/>
  </w:num>
  <w:num w:numId="33" w16cid:durableId="16960768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73E89"/>
    <w:rsid w:val="00186608"/>
    <w:rsid w:val="00274C70"/>
    <w:rsid w:val="002A65D0"/>
    <w:rsid w:val="002A673B"/>
    <w:rsid w:val="002F0238"/>
    <w:rsid w:val="0032528F"/>
    <w:rsid w:val="00434A9B"/>
    <w:rsid w:val="00481D68"/>
    <w:rsid w:val="00485DC4"/>
    <w:rsid w:val="004F7386"/>
    <w:rsid w:val="00617F4F"/>
    <w:rsid w:val="00783797"/>
    <w:rsid w:val="008A28D2"/>
    <w:rsid w:val="0090371B"/>
    <w:rsid w:val="009441BF"/>
    <w:rsid w:val="00975327"/>
    <w:rsid w:val="009A2EE4"/>
    <w:rsid w:val="00A918EE"/>
    <w:rsid w:val="00AD424E"/>
    <w:rsid w:val="00B26316"/>
    <w:rsid w:val="00B837B9"/>
    <w:rsid w:val="00BD2029"/>
    <w:rsid w:val="00BD582C"/>
    <w:rsid w:val="00C1055F"/>
    <w:rsid w:val="00D276CA"/>
    <w:rsid w:val="00D65761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customStyle="1" w:styleId="FontStyle31">
    <w:name w:val="Font Style31"/>
    <w:rsid w:val="00481D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481D6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styleId="af1">
    <w:name w:val="No Spacing"/>
    <w:uiPriority w:val="1"/>
    <w:qFormat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NoSpacing1">
    <w:name w:val="No Spacing1"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FontStyle18">
    <w:name w:val="Font Style18"/>
    <w:uiPriority w:val="99"/>
    <w:rsid w:val="00173E8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2026-02-27T06:47:00Z</cp:lastPrinted>
  <dcterms:created xsi:type="dcterms:W3CDTF">2026-03-04T07:34:00Z</dcterms:created>
  <dcterms:modified xsi:type="dcterms:W3CDTF">2026-09-02T11:36:00Z</dcterms:modified>
</cp:coreProperties>
</file>