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86E17">
      <w:pPr>
        <w:shd w:val="clear" w:color="auto" w:fill="FFFFFF"/>
        <w:spacing w:line="230" w:lineRule="exac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ДОГОВОР №__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6E69AB0E">
      <w:pPr>
        <w:shd w:val="clear" w:color="auto" w:fill="FFFFFF"/>
        <w:spacing w:line="230" w:lineRule="exac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НА РЕМОНТ ТРАНСПОРТНОГО СРЕДСТВА</w:t>
      </w:r>
    </w:p>
    <w:p w14:paraId="61619779">
      <w:pPr>
        <w:shd w:val="clear" w:color="auto" w:fill="FFFFFF"/>
        <w:tabs>
          <w:tab w:val="left" w:leader="underscore" w:pos="4195"/>
        </w:tabs>
        <w:spacing w:line="23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1D70D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а.г. Раков                                                                                                               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2026 г.</w:t>
      </w:r>
    </w:p>
    <w:p w14:paraId="73D0047E">
      <w:pPr>
        <w:shd w:val="clear" w:color="auto" w:fill="FFFFFF"/>
        <w:tabs>
          <w:tab w:val="left" w:leader="underscore" w:pos="4195"/>
        </w:tabs>
        <w:spacing w:line="23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AF69D">
      <w:pPr>
        <w:widowControl/>
        <w:autoSpaceDE/>
        <w:autoSpaceDN/>
        <w:adjustRightInd/>
        <w:ind w:firstLine="567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ru-RU" w:eastAsia="en-US"/>
        </w:rPr>
        <w:t>_____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именуемое в дальнейшем «Исполнитель», </w:t>
      </w:r>
      <w:r>
        <w:rPr>
          <w:rFonts w:eastAsia="Calibri"/>
          <w:sz w:val="24"/>
          <w:szCs w:val="24"/>
          <w:lang w:eastAsia="en-US"/>
        </w:rPr>
        <w:t>в</w:t>
      </w:r>
      <w:r>
        <w:rPr>
          <w:rFonts w:eastAsia="Calibri"/>
          <w:sz w:val="24"/>
          <w:szCs w:val="24"/>
          <w:lang w:val="zh-CN"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zh-CN" w:eastAsia="en-US"/>
        </w:rPr>
        <w:t>лице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____</w:t>
      </w:r>
      <w:r>
        <w:rPr>
          <w:rFonts w:ascii="Times New Roman" w:hAnsi="Times New Roman" w:eastAsia="Calibri" w:cs="Times New Roman"/>
          <w:sz w:val="24"/>
          <w:szCs w:val="24"/>
          <w:lang w:val="zh-CN" w:eastAsia="en-US"/>
        </w:rPr>
        <w:t xml:space="preserve">, действующего на основании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___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, с одной стороны, и Учреждение здравоохранения «Городской детский центр медицинской реабилитации «Пралеска», именуемое в дальнейшем «Заказчик», в лице главного врача Демидовой Надежды Петровны, действующего(й) на основании Устава, вместе именуемые «Стороны», закл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ючили настоящий договор о нижеследующем: </w:t>
      </w:r>
    </w:p>
    <w:p w14:paraId="6793CE62">
      <w:pPr>
        <w:shd w:val="clear" w:color="auto" w:fill="FFFFFF"/>
        <w:spacing w:before="235" w:line="226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1. ПРЕДМЕТ ДОГОВОРА</w:t>
      </w:r>
    </w:p>
    <w:p w14:paraId="2C616E47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Исполнитель принимает на себя обязательства по проведению ремонта 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транспортного средства - автомобиля </w:t>
      </w:r>
      <w:r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Geely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Emgrand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2023  г.в. (бензин) (далее - ТР), принадлежащего Заказчику, на собственной специализированной станции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технического обслуживания (далее - СТО), а также в случае необходимости, устанавливать необходимые запчасти и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сопутствующие материалы (далее - Товар), приобретенные Заказчиком у Исполнителя и (или) другого Поставщика.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Заказчик, в свою очередь, обязан принять и оплатить оказанные услуги и полученные запчасти на </w:t>
      </w:r>
      <w:r>
        <w:rPr>
          <w:rFonts w:ascii="Times New Roman" w:hAnsi="Times New Roman" w:cs="Times New Roman"/>
          <w:bCs/>
          <w:sz w:val="24"/>
          <w:szCs w:val="24"/>
        </w:rPr>
        <w:t>условиях, оговоренных в настоящем договоре.</w:t>
      </w:r>
    </w:p>
    <w:p w14:paraId="5C7797A3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В случае выявления в процессе ТР, выполнения дополнительных работ, без которых устранение выявленных неисправностей невозможно или не принесет должного результата, не указанных Заказчиком в заявке, и окончательная стоимость работ может превысить стоимость работ, указанную в п. 4.2.3. настоящего договора, Исполнитель уведомляет Заказчика о необходимости проведения таких работ или операций. Заказчик обязан немедленно путем уведомить Исполнителя о своем согласии на проведение дополнительных работ или операций или дать иные указания о дальнейших действиях. </w:t>
      </w:r>
    </w:p>
    <w:p w14:paraId="446DF173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30D06A1E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ОБЯЗАННОСТИ СТОРОН</w:t>
      </w:r>
    </w:p>
    <w:p w14:paraId="4683CFF3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Обязанности Исполнителя:</w:t>
      </w:r>
    </w:p>
    <w:p w14:paraId="49CD68F4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2.1.1</w:t>
      </w:r>
      <w:r>
        <w:rPr>
          <w:rFonts w:ascii="Times New Roman" w:hAnsi="Times New Roman" w:cs="Times New Roman"/>
          <w:bCs/>
          <w:spacing w:val="-10"/>
          <w:sz w:val="24"/>
          <w:szCs w:val="24"/>
        </w:rPr>
        <w:t>. принять транспортные средства;</w:t>
      </w:r>
    </w:p>
    <w:p w14:paraId="68404403">
      <w:pPr>
        <w:shd w:val="clear" w:color="auto" w:fill="FFFFFF"/>
        <w:spacing w:before="5"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2.1.2. производитель  ТР транспортного средства Заказчика в соответствии с нормативными актами и стандартами </w:t>
      </w:r>
      <w:r>
        <w:rPr>
          <w:rFonts w:ascii="Times New Roman" w:hAnsi="Times New Roman" w:cs="Times New Roman"/>
          <w:bCs/>
          <w:sz w:val="24"/>
          <w:szCs w:val="24"/>
        </w:rPr>
        <w:t>Республики Беларусь;</w:t>
      </w:r>
    </w:p>
    <w:p w14:paraId="047E0C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Предоставлять Заказчику следующую информацию посредством любого доступного средства связи:</w:t>
      </w:r>
    </w:p>
    <w:p w14:paraId="72A2C8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сроках и порядке осуществления ТР;</w:t>
      </w:r>
    </w:p>
    <w:p w14:paraId="6A009F7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техническом состоянии транспортного средства Заказчика;</w:t>
      </w:r>
    </w:p>
    <w:p w14:paraId="34F1DE9D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предварительной стоимости ТР;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</w:p>
    <w:p w14:paraId="3DF5ECBA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Обязанности Заказчика:</w:t>
      </w:r>
    </w:p>
    <w:p w14:paraId="1E875E2F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2.2.1. доставить автомобили на СТО в день и час, определяемые Исполнителем.</w:t>
      </w:r>
    </w:p>
    <w:p w14:paraId="6CF10735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2.2.2 произвести оплату за выполненные Исполнителем работы в соответствии с условиями настоящего договора.</w:t>
      </w:r>
    </w:p>
    <w:p w14:paraId="3E8C4419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</w:p>
    <w:p w14:paraId="40039C2F">
      <w:pPr>
        <w:shd w:val="clear" w:color="auto" w:fill="FFFFFF"/>
        <w:spacing w:line="202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3.ПОРЯДОК ОСУЩЕСТВЛЕНИЯ ТО И ТР</w:t>
      </w:r>
    </w:p>
    <w:p w14:paraId="658B7E08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Транспортное средство, вместе с документами на это транспортное средство, передается представителю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Исполнителя непосредственно перед въездом на территорию СТО, составляется акт приема-передачи с указанием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оснащения и явных дефектов транспортного средства, который подписывается представителями сторон.</w:t>
      </w:r>
    </w:p>
    <w:p w14:paraId="336ED345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При приемке транспортного средства Заказчиком составляется заявка на проведение ТР,  в которой </w:t>
      </w:r>
      <w:r>
        <w:rPr>
          <w:rFonts w:ascii="Times New Roman" w:hAnsi="Times New Roman" w:cs="Times New Roman"/>
          <w:bCs/>
          <w:spacing w:val="-9"/>
          <w:sz w:val="24"/>
          <w:szCs w:val="24"/>
        </w:rPr>
        <w:t>указываются виды выполняемых работ (или  неисправности).</w:t>
      </w:r>
    </w:p>
    <w:p w14:paraId="3DABDA27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3.3. После осмотра транспортного средства Исполнитель, согласовывает с Заказчиком и производит предварительную оценку стоимости ТР, оформляет заказ-наряд на выполнение работ.</w:t>
      </w:r>
    </w:p>
    <w:p w14:paraId="04DCED14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Если в процессе выполнения работ будут выявлены скрытые дефекты, не указанные ранее в заявке, то Исполнитель извещает об этом Заказчика, производит дополнительную оценку и согласовывает стоимость </w:t>
      </w:r>
      <w:r>
        <w:rPr>
          <w:rFonts w:ascii="Times New Roman" w:hAnsi="Times New Roman" w:cs="Times New Roman"/>
          <w:bCs/>
          <w:spacing w:val="-10"/>
          <w:sz w:val="24"/>
          <w:szCs w:val="24"/>
        </w:rPr>
        <w:t>дополнительных работ.</w:t>
      </w:r>
    </w:p>
    <w:p w14:paraId="5350855E">
      <w:pPr>
        <w:shd w:val="clear" w:color="auto" w:fill="FFFFFF"/>
        <w:spacing w:before="10" w:line="230" w:lineRule="exact"/>
        <w:ind w:firstLine="567"/>
        <w:jc w:val="both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 При установке на транспортное средство Заказчика необходимых запасных частей и агрегатов, информация о произведенных работах и их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стоимости  отражается в заказе-наряде.</w:t>
      </w:r>
    </w:p>
    <w:p w14:paraId="025F1938">
      <w:pPr>
        <w:shd w:val="clear" w:color="auto" w:fill="FFFFFF"/>
        <w:spacing w:before="5"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3.6. После окончания выполнения всех работ, согласованных сторонами, Исполнитель предоставляет Заказчику оформленный заказ-наряд, </w:t>
      </w:r>
      <w:r>
        <w:rPr>
          <w:rFonts w:ascii="Times New Roman" w:hAnsi="Times New Roman" w:cs="Times New Roman"/>
          <w:bCs/>
          <w:sz w:val="24"/>
          <w:szCs w:val="24"/>
        </w:rPr>
        <w:t>счет на оплату произведенных работ и установленных запчастях и протокол согласования цен.</w:t>
      </w:r>
    </w:p>
    <w:p w14:paraId="1557282D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3.7. 3аказчик обязан забрать транспортное средство с территории СТО в течение 3-х календарных дней с момента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получения уведомления от Исполнителя о выполнении работ и выставления счета.</w:t>
      </w:r>
    </w:p>
    <w:p w14:paraId="4BAD0DFB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3.8. Приемка транспортного средства от Исполнителя Заказчику производится при предоставлении:</w:t>
      </w:r>
    </w:p>
    <w:p w14:paraId="48FE398A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3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документа, удостоверяющего личность;</w:t>
      </w:r>
    </w:p>
    <w:p w14:paraId="5BF2376D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5" w:line="23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документа, подтверждающего право собственности на транспортное средство;</w:t>
      </w:r>
    </w:p>
    <w:p w14:paraId="764537B2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доверенности (в случае, если автомобиль забирает не владелец транспортного средства).</w:t>
      </w:r>
    </w:p>
    <w:p w14:paraId="5876A578">
      <w:pPr>
        <w:shd w:val="clear" w:color="auto" w:fill="FFFFFF"/>
        <w:tabs>
          <w:tab w:val="left" w:pos="125"/>
        </w:tabs>
        <w:spacing w:line="230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4.РАСЧЕТЫ И ПОРЯДОК ОПЛАТЫ</w:t>
      </w:r>
    </w:p>
    <w:p w14:paraId="5AB6C588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4.1. Стоимость работ по настоящему договору определяется Исполнителем на основании существующих нормативов и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>установленных цен и тарифов на день выполнения работ, оформления заказа-наряда на выполненные работы и акта выполненных работ, который подписывается представителями Исполнителя и Заказчика и выставления счета, который выписывается Исполнителем Заказчику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30C4E38D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Оплата за выполненные работы производится Заказчиком в следующем порядке:</w:t>
      </w:r>
    </w:p>
    <w:p w14:paraId="0C5A5657">
      <w:pPr>
        <w:shd w:val="clear" w:color="auto" w:fill="FFFFFF"/>
        <w:spacing w:line="221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Заказчик производит оплату оказанных услуг путем перечисления денежных средств на расчетный счет Исполнителя по факту окончания выполнения работ и подписания заказа-наряда, акта выполненных работ в течение 10-ти рабочих дней.</w:t>
      </w:r>
    </w:p>
    <w:p w14:paraId="00AF1157">
      <w:pPr>
        <w:shd w:val="clear" w:color="auto" w:fill="FFFFFF"/>
        <w:spacing w:line="221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Источник финансирования -   местный бюджет г. Минска.</w:t>
      </w:r>
    </w:p>
    <w:p w14:paraId="5738DFE4">
      <w:pPr>
        <w:shd w:val="clear" w:color="auto" w:fill="FFFFFF"/>
        <w:spacing w:line="221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 Сумма договора составляет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белорусских рублей.</w:t>
      </w:r>
    </w:p>
    <w:p w14:paraId="3BF20AE4">
      <w:pPr>
        <w:shd w:val="clear" w:color="auto" w:fill="FFFFFF"/>
        <w:spacing w:before="24" w:line="221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5.ГАРАНТИЙНЫЕ ОБЯЗАТЕЛЬСТВА</w:t>
      </w:r>
    </w:p>
    <w:p w14:paraId="4F98A2B2">
      <w:pPr>
        <w:shd w:val="clear" w:color="auto" w:fill="FFFFFF"/>
        <w:spacing w:line="20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Претензии по качеству и объему выполненных услуг могут быть предъявлены Заказчиком в течение следующих  гарантийных сроков:</w:t>
      </w:r>
    </w:p>
    <w:p w14:paraId="72D511AA">
      <w:pPr>
        <w:shd w:val="clear" w:color="auto" w:fill="FFFFFF"/>
        <w:spacing w:before="19"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техническое обслуживание - 20 (двадцать) дней со дня подписания сторонами заказа-наряда при условии пробега автомобиля не более 2 000 (двух тысяч) км.</w:t>
      </w:r>
    </w:p>
    <w:p w14:paraId="5FE48F9B">
      <w:pPr>
        <w:shd w:val="clear" w:color="auto" w:fill="FFFFFF"/>
        <w:spacing w:before="19"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ремонт - 30 (тридцать) дней со дня подписания сторонами заказа-наряда при условии пробега автомобиля не более 2 000 (двух тысяч) км.</w:t>
      </w:r>
    </w:p>
    <w:p w14:paraId="5E21FB45">
      <w:pPr>
        <w:shd w:val="clear" w:color="auto" w:fill="FFFFFF"/>
        <w:spacing w:before="19"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Исполнитель предоставляет гарантию только на те запчасти, узлы и агрегаты, которые были приобретены Заказчиком непосредственно у Исполнителя и установлены Исполнителем. Гарантийный срок на запасные части не меньше гарантийного срока, установленного изготовителем (поставщиком), с момента установки, за исключением случаев естественного износа. </w:t>
      </w:r>
    </w:p>
    <w:p w14:paraId="58B176C2">
      <w:pPr>
        <w:shd w:val="clear" w:color="auto" w:fill="FFFFFF"/>
        <w:spacing w:before="19"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Иные гарантийные обязательства Исполнителя определяются гарантийными обязательствами производителя.</w:t>
      </w:r>
    </w:p>
    <w:p w14:paraId="2B25D183">
      <w:pPr>
        <w:shd w:val="clear" w:color="auto" w:fill="FFFFFF"/>
        <w:spacing w:before="19" w:line="226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ОТВЕТСТВЕННОСТЬ СТОРОН</w:t>
      </w:r>
    </w:p>
    <w:p w14:paraId="64E34AAE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Исполнитель несет материальную ответственность за сохранность транспортного средства Заказчика с момента передачи его сотруднику Исполнителя при въезде на СТО и до момента передачи транспортного средства Заказчику.</w:t>
      </w:r>
    </w:p>
    <w:p w14:paraId="7EB4E8F9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Ни одна из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непреодолимой  силы (форс-мажор), а именно:</w:t>
      </w:r>
    </w:p>
    <w:p w14:paraId="7D5A8AA5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наводнение, землетрясение, другие стихийные бедствия, а также война или военные действия, возникшие после </w:t>
      </w:r>
      <w:r>
        <w:rPr>
          <w:rFonts w:ascii="Times New Roman" w:hAnsi="Times New Roman" w:cs="Times New Roman"/>
          <w:spacing w:val="-5"/>
          <w:sz w:val="24"/>
          <w:szCs w:val="24"/>
        </w:rPr>
        <w:t>заключения настоящего договора.</w:t>
      </w:r>
    </w:p>
    <w:p w14:paraId="1585D541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Если любое из обстоятельств, указанных в п. 6.2., непосредственно повлекло неисполнение сторонами обязательств в срок, установленный настоящим договором, то этот срок соразмерно отодвигается на время действия соответствующего обстоятельства. О наступлении форс-мажорного обстоятельства сторона, для которой они наступили, обязана </w:t>
      </w:r>
      <w:r>
        <w:rPr>
          <w:rFonts w:ascii="Times New Roman" w:hAnsi="Times New Roman" w:cs="Times New Roman"/>
          <w:spacing w:val="-1"/>
          <w:sz w:val="24"/>
          <w:szCs w:val="24"/>
        </w:rPr>
        <w:t>немедленно проинформировать другую сторону.</w:t>
      </w:r>
    </w:p>
    <w:p w14:paraId="4A52D516">
      <w:pPr>
        <w:shd w:val="clear" w:color="auto" w:fill="FFFFFF"/>
        <w:spacing w:line="226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6.4. За неисполнение (ненадлежащее исполнение) своих договорных обязательств стороны несут ответственность в соответствии с законодательством Республики Беларусь.</w:t>
      </w:r>
    </w:p>
    <w:p w14:paraId="66C588DA">
      <w:pPr>
        <w:shd w:val="clear" w:color="auto" w:fill="FFFFFF"/>
        <w:spacing w:line="226" w:lineRule="exac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7.ПРОЧИЕ УСЛОВИЯ</w:t>
      </w:r>
    </w:p>
    <w:p w14:paraId="4320078F">
      <w:pPr>
        <w:shd w:val="clear" w:color="auto" w:fill="FFFFFF"/>
        <w:tabs>
          <w:tab w:val="left" w:leader="underscore" w:pos="8376"/>
          <w:tab w:val="left" w:leader="underscore" w:pos="10018"/>
        </w:tabs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7.1. Настоящий договор вступает в силу с момента подписания его сторонами и действует до исполнения обязательств.</w:t>
      </w:r>
    </w:p>
    <w:p w14:paraId="70EDCC8D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Досрочное расторжение настоящего договора возможно по соглашению сторон, а также по инициативе одной из сторон при условии письменного уведомления второй стороны за 30 календарных дней до предполагаемой даты расторжения.</w:t>
      </w:r>
    </w:p>
    <w:p w14:paraId="6DCD42AB">
      <w:pPr>
        <w:shd w:val="clear" w:color="auto" w:fill="FFFFFF"/>
        <w:spacing w:before="5"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случае неоднократного нарушения условий настоящего договора любой из сторон, договор может быть досрочно расторгнут без предварительного уведомления.</w:t>
      </w:r>
    </w:p>
    <w:p w14:paraId="7683874A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Если разногласия или спор не разрешен посредством проведения переговоров или на претензию не был получен мотивированный ответ в течение 10 (десяти) дней после ее направления адресату, споры передаются на рассмотрение экономического суда Минской области.</w:t>
      </w:r>
    </w:p>
    <w:p w14:paraId="652ACEC2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Настоящий Договор составлен в двух экземплярах, имеющих одинаковую юридическую силу, по одному для </w:t>
      </w:r>
      <w:r>
        <w:rPr>
          <w:rFonts w:ascii="Times New Roman" w:hAnsi="Times New Roman" w:cs="Times New Roman"/>
          <w:spacing w:val="-4"/>
          <w:sz w:val="24"/>
          <w:szCs w:val="24"/>
        </w:rPr>
        <w:t>каждой из сторон.</w:t>
      </w:r>
    </w:p>
    <w:p w14:paraId="0E6B3C9C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7AF595B">
      <w:pPr>
        <w:shd w:val="clear" w:color="auto" w:fill="FFFFFF"/>
        <w:spacing w:line="230" w:lineRule="exact"/>
        <w:ind w:firstLine="567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zh-CN"/>
        </w:rPr>
        <w:t>. АНТИКОРРУПЦИОННАЯ ОГОВОРКА</w:t>
      </w:r>
    </w:p>
    <w:p w14:paraId="2D03CDB4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8.</w:t>
      </w:r>
      <w:r>
        <w:rPr>
          <w:rFonts w:ascii="Times New Roman" w:hAnsi="Times New Roman" w:cs="Times New Roman"/>
          <w:spacing w:val="-4"/>
          <w:sz w:val="24"/>
          <w:szCs w:val="24"/>
          <w:lang w:val="zh-CN"/>
        </w:rPr>
        <w:t xml:space="preserve">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</w:t>
      </w:r>
    </w:p>
    <w:p w14:paraId="05F73D79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  <w:lang w:val="zh-CN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 </w:t>
      </w:r>
    </w:p>
    <w:p w14:paraId="78FDFE94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  <w:lang w:val="zh-CN"/>
        </w:rPr>
        <w:t xml:space="preserve">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 </w:t>
      </w:r>
    </w:p>
    <w:p w14:paraId="431C79BD">
      <w:pPr>
        <w:shd w:val="clear" w:color="auto" w:fill="FFFFFF"/>
        <w:spacing w:line="23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  <w:lang w:val="zh-CN"/>
        </w:rPr>
        <w:t>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64ACD7B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pacing w:val="-4"/>
        </w:rPr>
      </w:pPr>
    </w:p>
    <w:p w14:paraId="6EB9BBD3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9.РЕКВИЗИТЫ И ПОДПИСИ </w:t>
      </w:r>
      <w:r>
        <w:rPr>
          <w:rFonts w:ascii="Times New Roman" w:hAnsi="Times New Roman" w:cs="Times New Roman"/>
          <w:bCs/>
        </w:rPr>
        <w:t>СТОРОН</w:t>
      </w:r>
    </w:p>
    <w:p w14:paraId="66678D2E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Style w:val="3"/>
        <w:tblW w:w="9983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5"/>
        <w:gridCol w:w="4988"/>
      </w:tblGrid>
      <w:tr w14:paraId="2B651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5" w:type="dxa"/>
          </w:tcPr>
          <w:p w14:paraId="2D9FFD8C">
            <w:pPr>
              <w:ind w:right="-110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988" w:type="dxa"/>
          </w:tcPr>
          <w:p w14:paraId="6DCEA38C">
            <w:pPr>
              <w:ind w:right="-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14:paraId="3151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5" w:type="dxa"/>
          </w:tcPr>
          <w:p w14:paraId="51A622A7">
            <w:pPr>
              <w:pStyle w:val="8"/>
              <w:ind w:left="-108"/>
              <w:rPr>
                <w:szCs w:val="24"/>
              </w:rPr>
            </w:pPr>
            <w:r>
              <w:rPr>
                <w:b/>
                <w:szCs w:val="24"/>
              </w:rPr>
              <w:t xml:space="preserve">Учреждение здравоохранения </w:t>
            </w:r>
            <w:r>
              <w:rPr>
                <w:rFonts w:hint="default"/>
                <w:b/>
                <w:szCs w:val="24"/>
                <w:lang w:val="ru-RU"/>
              </w:rPr>
              <w:t>«</w:t>
            </w:r>
            <w:r>
              <w:rPr>
                <w:b/>
                <w:szCs w:val="24"/>
              </w:rPr>
              <w:t>Городской детский центр медицинской  реабилитации «Пралеска»</w:t>
            </w:r>
            <w:r>
              <w:rPr>
                <w:szCs w:val="24"/>
              </w:rPr>
              <w:t xml:space="preserve"> Адрес: 222365, Минская область, </w:t>
            </w:r>
          </w:p>
          <w:p w14:paraId="6D8C424C">
            <w:pPr>
              <w:pStyle w:val="8"/>
              <w:ind w:left="-108"/>
              <w:rPr>
                <w:szCs w:val="24"/>
              </w:rPr>
            </w:pPr>
            <w:r>
              <w:rPr>
                <w:szCs w:val="24"/>
              </w:rPr>
              <w:t>Воложинский р-н, а.г. Раков, ул. Парковая, 30</w:t>
            </w:r>
          </w:p>
          <w:p w14:paraId="38D85173">
            <w:pPr>
              <w:pStyle w:val="8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Р/с BY54BLBB36040100663173001001 </w:t>
            </w:r>
          </w:p>
          <w:p w14:paraId="5DB97BB9">
            <w:pPr>
              <w:pStyle w:val="8"/>
              <w:ind w:left="-108"/>
              <w:rPr>
                <w:szCs w:val="24"/>
              </w:rPr>
            </w:pPr>
            <w:r>
              <w:rPr>
                <w:szCs w:val="24"/>
              </w:rPr>
              <w:t>в ЦБУ №538 г. Минск ОАО</w:t>
            </w:r>
          </w:p>
          <w:p w14:paraId="2FCC44F8">
            <w:pPr>
              <w:pStyle w:val="8"/>
              <w:ind w:left="-108"/>
              <w:rPr>
                <w:szCs w:val="24"/>
              </w:rPr>
            </w:pPr>
            <w:r>
              <w:rPr>
                <w:szCs w:val="24"/>
              </w:rPr>
              <w:t>«Белинвестбанк», BIC BLBBBY2X</w:t>
            </w:r>
          </w:p>
          <w:p w14:paraId="4A7EB2FD">
            <w:pPr>
              <w:pStyle w:val="8"/>
              <w:ind w:left="-108"/>
              <w:rPr>
                <w:szCs w:val="24"/>
              </w:rPr>
            </w:pPr>
            <w:r>
              <w:rPr>
                <w:szCs w:val="24"/>
              </w:rPr>
              <w:t>Адрес банка: г. Минск, ул. Коржа, 11а</w:t>
            </w:r>
          </w:p>
          <w:p w14:paraId="79A56607">
            <w:pPr>
              <w:pStyle w:val="8"/>
              <w:ind w:left="-108"/>
              <w:rPr>
                <w:szCs w:val="24"/>
              </w:rPr>
            </w:pPr>
            <w:r>
              <w:rPr>
                <w:szCs w:val="24"/>
              </w:rPr>
              <w:t xml:space="preserve">УНН 100663173   ОКПО 017984836000 </w:t>
            </w:r>
          </w:p>
          <w:p w14:paraId="3253ADFE">
            <w:pPr>
              <w:pStyle w:val="8"/>
              <w:ind w:left="-108"/>
              <w:rPr>
                <w:b/>
                <w:szCs w:val="24"/>
              </w:rPr>
            </w:pPr>
            <w:r>
              <w:rPr>
                <w:szCs w:val="24"/>
              </w:rPr>
              <w:t>Тел./факс (01772) 32 362, 32 283</w:t>
            </w:r>
          </w:p>
          <w:p w14:paraId="625CC514">
            <w:pPr>
              <w:ind w:right="-110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8" w:type="dxa"/>
          </w:tcPr>
          <w:p w14:paraId="3EED5134">
            <w:pPr>
              <w:ind w:right="-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CD80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5" w:type="dxa"/>
            <w:shd w:val="clear" w:color="auto" w:fill="auto"/>
          </w:tcPr>
          <w:p w14:paraId="5152E7C7">
            <w:pPr>
              <w:pStyle w:val="8"/>
              <w:ind w:left="-108"/>
              <w:rPr>
                <w:szCs w:val="24"/>
              </w:rPr>
            </w:pPr>
          </w:p>
          <w:p w14:paraId="35427774">
            <w:pPr>
              <w:ind w:left="-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88" w:type="dxa"/>
          </w:tcPr>
          <w:p w14:paraId="632490E8">
            <w:pPr>
              <w:ind w:right="-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D23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995" w:type="dxa"/>
          </w:tcPr>
          <w:p w14:paraId="56B6A051">
            <w:pPr>
              <w:ind w:right="-11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7311A7E">
            <w:pPr>
              <w:ind w:right="-11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746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5" w:type="dxa"/>
          </w:tcPr>
          <w:p w14:paraId="278E6D50">
            <w:pPr>
              <w:ind w:right="-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4988" w:type="dxa"/>
          </w:tcPr>
          <w:p w14:paraId="1E04566E">
            <w:pPr>
              <w:ind w:right="-11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</w:tc>
      </w:tr>
      <w:tr w14:paraId="35BB9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5" w:type="dxa"/>
          </w:tcPr>
          <w:p w14:paraId="38C2516C">
            <w:pPr>
              <w:ind w:right="-11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8" w:type="dxa"/>
          </w:tcPr>
          <w:p w14:paraId="11BA5E2D">
            <w:pPr>
              <w:ind w:right="-11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83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995" w:type="dxa"/>
          </w:tcPr>
          <w:p w14:paraId="77D65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___________________Н.П. Демидова</w:t>
            </w:r>
          </w:p>
        </w:tc>
        <w:tc>
          <w:tcPr>
            <w:tcW w:w="4988" w:type="dxa"/>
          </w:tcPr>
          <w:p w14:paraId="74A1714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_</w:t>
            </w:r>
            <w:bookmarkStart w:id="0" w:name="_GoBack"/>
            <w:bookmarkEnd w:id="0"/>
          </w:p>
        </w:tc>
      </w:tr>
    </w:tbl>
    <w:p w14:paraId="16557E7E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</w:rPr>
      </w:pPr>
    </w:p>
    <w:sectPr>
      <w:headerReference r:id="rId3" w:type="default"/>
      <w:type w:val="continuous"/>
      <w:pgSz w:w="11909" w:h="16834"/>
      <w:pgMar w:top="709" w:right="569" w:bottom="709" w:left="1418" w:header="720" w:footer="720" w:gutter="0"/>
      <w:cols w:space="6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8453373"/>
      <w:docPartObj>
        <w:docPartGallery w:val="autotext"/>
      </w:docPartObj>
    </w:sdtPr>
    <w:sdtContent>
      <w:p w14:paraId="671DB7E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CF2E0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  <w:lvlOverride w:ilvl="0">
      <w:lvl w:ilvl="0" w:tentative="1">
        <w:start w:val="65535"/>
        <w:numFmt w:val="bullet"/>
        <w:lvlText w:val="-"/>
        <w:legacy w:legacy="1" w:legacySpace="0" w:legacyIndent="111"/>
        <w:lvlJc w:val="left"/>
        <w:rPr>
          <w:rFonts w:hint="default" w:ascii="Times New Roman" w:hAnsi="Times New Roman"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74"/>
    <w:rsid w:val="00006542"/>
    <w:rsid w:val="000362CD"/>
    <w:rsid w:val="000409AF"/>
    <w:rsid w:val="000419B9"/>
    <w:rsid w:val="00066C65"/>
    <w:rsid w:val="000B654D"/>
    <w:rsid w:val="00101B2F"/>
    <w:rsid w:val="00135443"/>
    <w:rsid w:val="00136D3B"/>
    <w:rsid w:val="00142A7E"/>
    <w:rsid w:val="00161D91"/>
    <w:rsid w:val="0016755D"/>
    <w:rsid w:val="001802B8"/>
    <w:rsid w:val="001C1895"/>
    <w:rsid w:val="001F13C2"/>
    <w:rsid w:val="001F6107"/>
    <w:rsid w:val="002119A8"/>
    <w:rsid w:val="002255C9"/>
    <w:rsid w:val="00243B0E"/>
    <w:rsid w:val="002459A4"/>
    <w:rsid w:val="00272A3F"/>
    <w:rsid w:val="00283269"/>
    <w:rsid w:val="00283876"/>
    <w:rsid w:val="002A4806"/>
    <w:rsid w:val="002E1C23"/>
    <w:rsid w:val="002F3213"/>
    <w:rsid w:val="003011D0"/>
    <w:rsid w:val="003261B3"/>
    <w:rsid w:val="00370091"/>
    <w:rsid w:val="0038193F"/>
    <w:rsid w:val="003A5556"/>
    <w:rsid w:val="003E2A0F"/>
    <w:rsid w:val="003F1745"/>
    <w:rsid w:val="00400305"/>
    <w:rsid w:val="00402740"/>
    <w:rsid w:val="004110C8"/>
    <w:rsid w:val="00417F7C"/>
    <w:rsid w:val="0042728F"/>
    <w:rsid w:val="00434FED"/>
    <w:rsid w:val="00446063"/>
    <w:rsid w:val="004749AE"/>
    <w:rsid w:val="004A760E"/>
    <w:rsid w:val="004C3C1C"/>
    <w:rsid w:val="004E5478"/>
    <w:rsid w:val="004F10A4"/>
    <w:rsid w:val="0052611D"/>
    <w:rsid w:val="00555E51"/>
    <w:rsid w:val="005700E3"/>
    <w:rsid w:val="005A11AE"/>
    <w:rsid w:val="005B6A66"/>
    <w:rsid w:val="005D01C4"/>
    <w:rsid w:val="00611913"/>
    <w:rsid w:val="00620743"/>
    <w:rsid w:val="00626C55"/>
    <w:rsid w:val="00657253"/>
    <w:rsid w:val="00676A6F"/>
    <w:rsid w:val="00684B4F"/>
    <w:rsid w:val="006A3056"/>
    <w:rsid w:val="006B0CD1"/>
    <w:rsid w:val="006D7B91"/>
    <w:rsid w:val="006F1B0C"/>
    <w:rsid w:val="00716689"/>
    <w:rsid w:val="007410B4"/>
    <w:rsid w:val="00782B65"/>
    <w:rsid w:val="00784DA8"/>
    <w:rsid w:val="007A619E"/>
    <w:rsid w:val="007E158F"/>
    <w:rsid w:val="007F4C7D"/>
    <w:rsid w:val="007F7B53"/>
    <w:rsid w:val="00806F0F"/>
    <w:rsid w:val="0081151B"/>
    <w:rsid w:val="00826562"/>
    <w:rsid w:val="00827D48"/>
    <w:rsid w:val="00832F61"/>
    <w:rsid w:val="00833AF8"/>
    <w:rsid w:val="008366CF"/>
    <w:rsid w:val="0083788A"/>
    <w:rsid w:val="0084685B"/>
    <w:rsid w:val="0088472B"/>
    <w:rsid w:val="00884D73"/>
    <w:rsid w:val="00890DFB"/>
    <w:rsid w:val="0089117A"/>
    <w:rsid w:val="00893F71"/>
    <w:rsid w:val="00894C28"/>
    <w:rsid w:val="008A21A7"/>
    <w:rsid w:val="008A3BBE"/>
    <w:rsid w:val="008A67AB"/>
    <w:rsid w:val="008B118E"/>
    <w:rsid w:val="008B254D"/>
    <w:rsid w:val="008B76EE"/>
    <w:rsid w:val="008E5AAD"/>
    <w:rsid w:val="00912F49"/>
    <w:rsid w:val="00936D35"/>
    <w:rsid w:val="0094539D"/>
    <w:rsid w:val="0095375F"/>
    <w:rsid w:val="0097028D"/>
    <w:rsid w:val="0098376B"/>
    <w:rsid w:val="009A5A2F"/>
    <w:rsid w:val="009C3FBC"/>
    <w:rsid w:val="009C5120"/>
    <w:rsid w:val="009D6213"/>
    <w:rsid w:val="009F3E0A"/>
    <w:rsid w:val="00A134F3"/>
    <w:rsid w:val="00A201DC"/>
    <w:rsid w:val="00A344FF"/>
    <w:rsid w:val="00A57DD4"/>
    <w:rsid w:val="00A756D2"/>
    <w:rsid w:val="00A872EF"/>
    <w:rsid w:val="00AA5BA8"/>
    <w:rsid w:val="00AA65DD"/>
    <w:rsid w:val="00AB2BD0"/>
    <w:rsid w:val="00AB5AF4"/>
    <w:rsid w:val="00AB605C"/>
    <w:rsid w:val="00AC21C7"/>
    <w:rsid w:val="00B14C49"/>
    <w:rsid w:val="00B43939"/>
    <w:rsid w:val="00B552C8"/>
    <w:rsid w:val="00B61E6A"/>
    <w:rsid w:val="00B63FCF"/>
    <w:rsid w:val="00B8691B"/>
    <w:rsid w:val="00B95AE3"/>
    <w:rsid w:val="00BE54CB"/>
    <w:rsid w:val="00BF42D3"/>
    <w:rsid w:val="00C11125"/>
    <w:rsid w:val="00C113B4"/>
    <w:rsid w:val="00C15F94"/>
    <w:rsid w:val="00C30267"/>
    <w:rsid w:val="00C45D4A"/>
    <w:rsid w:val="00C47D21"/>
    <w:rsid w:val="00C5613B"/>
    <w:rsid w:val="00C56979"/>
    <w:rsid w:val="00C74C6A"/>
    <w:rsid w:val="00C86956"/>
    <w:rsid w:val="00C95538"/>
    <w:rsid w:val="00CA2521"/>
    <w:rsid w:val="00CF3570"/>
    <w:rsid w:val="00D43DC6"/>
    <w:rsid w:val="00D46E2B"/>
    <w:rsid w:val="00D65A84"/>
    <w:rsid w:val="00D73D8C"/>
    <w:rsid w:val="00D820EA"/>
    <w:rsid w:val="00D8281F"/>
    <w:rsid w:val="00D87112"/>
    <w:rsid w:val="00DB0A0A"/>
    <w:rsid w:val="00DB0BEB"/>
    <w:rsid w:val="00DB41F6"/>
    <w:rsid w:val="00DF0ED4"/>
    <w:rsid w:val="00E03C84"/>
    <w:rsid w:val="00E0545E"/>
    <w:rsid w:val="00E17A63"/>
    <w:rsid w:val="00E24803"/>
    <w:rsid w:val="00E34732"/>
    <w:rsid w:val="00E41EB1"/>
    <w:rsid w:val="00E6514A"/>
    <w:rsid w:val="00E9299E"/>
    <w:rsid w:val="00E94C3A"/>
    <w:rsid w:val="00EB3B46"/>
    <w:rsid w:val="00EC4BAC"/>
    <w:rsid w:val="00ED20B0"/>
    <w:rsid w:val="00F0693B"/>
    <w:rsid w:val="00F06FDE"/>
    <w:rsid w:val="00F14690"/>
    <w:rsid w:val="00F31B84"/>
    <w:rsid w:val="00F57A25"/>
    <w:rsid w:val="00F70F30"/>
    <w:rsid w:val="00F71379"/>
    <w:rsid w:val="00F9076C"/>
    <w:rsid w:val="00F95AD8"/>
    <w:rsid w:val="00FA2687"/>
    <w:rsid w:val="00FA5D74"/>
    <w:rsid w:val="00FB6C08"/>
    <w:rsid w:val="00FC581D"/>
    <w:rsid w:val="00FC6A0D"/>
    <w:rsid w:val="00FC7946"/>
    <w:rsid w:val="00FD08C9"/>
    <w:rsid w:val="00FD7DE6"/>
    <w:rsid w:val="024A4B52"/>
    <w:rsid w:val="05851801"/>
    <w:rsid w:val="1D8F4D07"/>
    <w:rsid w:val="2466486A"/>
    <w:rsid w:val="249743F6"/>
    <w:rsid w:val="27522A7A"/>
    <w:rsid w:val="2FB94A94"/>
    <w:rsid w:val="448C0DCF"/>
    <w:rsid w:val="54EA355C"/>
    <w:rsid w:val="75796020"/>
    <w:rsid w:val="7CB6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1"/>
    <w:unhideWhenUsed/>
    <w:qFormat/>
    <w:uiPriority w:val="0"/>
    <w:pPr>
      <w:tabs>
        <w:tab w:val="center" w:pos="4677"/>
        <w:tab w:val="right" w:pos="9355"/>
      </w:tabs>
    </w:pPr>
  </w:style>
  <w:style w:type="paragraph" w:customStyle="1" w:styleId="8">
    <w:name w:val="Обычный.Нормальный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SimSun" w:cs="Times New Roman"/>
      <w:sz w:val="24"/>
      <w:lang w:val="ru-RU" w:eastAsia="ru-RU" w:bidi="ar-SA"/>
    </w:rPr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Верхний колонтитул Знак"/>
    <w:basedOn w:val="2"/>
    <w:link w:val="6"/>
    <w:qFormat/>
    <w:uiPriority w:val="99"/>
    <w:rPr>
      <w:rFonts w:ascii="Arial" w:hAnsi="Arial" w:cs="Arial"/>
      <w:lang w:val="ru-RU" w:eastAsia="ru-RU"/>
    </w:rPr>
  </w:style>
  <w:style w:type="character" w:customStyle="1" w:styleId="11">
    <w:name w:val="Нижний колонтитул Знак"/>
    <w:basedOn w:val="2"/>
    <w:link w:val="7"/>
    <w:qFormat/>
    <w:uiPriority w:val="0"/>
    <w:rPr>
      <w:rFonts w:ascii="Arial" w:hAnsi="Arial" w:cs="Arial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1293</Words>
  <Characters>9357</Characters>
  <Lines>76</Lines>
  <Paragraphs>21</Paragraphs>
  <TotalTime>4</TotalTime>
  <ScaleCrop>false</ScaleCrop>
  <LinksUpToDate>false</LinksUpToDate>
  <CharactersWithSpaces>10717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2026-04-06T14:15:00Z</dcterms:created>
  <dc:creator>Артем</dc:creator>
  <cp:lastModifiedBy>WPS_1774948553</cp:lastModifiedBy>
  <cp:lastPrinted>2026-07-23T14:07:00Z</cp:lastPrinted>
  <dcterms:modified xsi:type="dcterms:W3CDTF">2026-08-24T08:54:12Z</dcterms:modified>
  <dc:title>ДОГОВОР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A889EE848B8147F6AE60DC4A4894F0BF_13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