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</w:rPr>
      </w:pPr>
      <w:r>
        <w:rPr>
          <w:b/>
          <w:bCs/>
        </w:rPr>
        <w:t xml:space="preserve">ТЕХНИЧЕСКОЕ ЗАДАНИЕ</w:t>
      </w:r>
      <w:r>
        <w:rPr>
          <w:b/>
          <w:bCs/>
        </w:rPr>
      </w:r>
    </w:p>
    <w:p>
      <w:pPr>
        <w:pStyle w:val="648"/>
        <w:numPr>
          <w:ilvl w:val="0"/>
          <w:numId w:val="1"/>
        </w:numPr>
        <w:ind w:left="0" w:firstLine="709"/>
        <w:jc w:val="left"/>
        <w:shd w:val="clear" w:color="auto" w:fill="ffffff"/>
        <w:rPr>
          <w:rFonts w:asciiTheme="majorBidi" w:hAnsiTheme="majorBidi" w:cstheme="majorBidi"/>
          <w:b/>
          <w:bCs/>
          <w:sz w:val="24"/>
        </w:rPr>
      </w:pPr>
      <w:r>
        <w:rPr>
          <w:rFonts w:asciiTheme="majorBidi" w:hAnsiTheme="majorBidi" w:cstheme="majorBidi"/>
          <w:b/>
          <w:bCs/>
          <w:sz w:val="24"/>
        </w:rPr>
        <w:t xml:space="preserve">Общие характеристики:</w:t>
      </w:r>
      <w:r>
        <w:rPr>
          <w:rFonts w:asciiTheme="majorBidi" w:hAnsiTheme="majorBidi" w:cstheme="majorBidi"/>
          <w:b/>
          <w:bCs/>
          <w:sz w:val="24"/>
        </w:rPr>
      </w:r>
    </w:p>
    <w:p>
      <w:pPr>
        <w:pStyle w:val="642"/>
        <w:numPr>
          <w:ilvl w:val="1"/>
          <w:numId w:val="1"/>
        </w:numPr>
        <w:contextualSpacing w:val="0"/>
        <w:ind w:left="0" w:firstLine="709"/>
        <w:spacing w:line="240" w:lineRule="auto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Требование к программному обеспечения к поставке для поддержки </w:t>
      </w:r>
      <w:r>
        <w:rPr>
          <w:rFonts w:asciiTheme="majorBidi" w:hAnsiTheme="majorBidi" w:cstheme="majorBidi"/>
          <w:sz w:val="24"/>
        </w:rPr>
        <w:t xml:space="preserve">межсетевых экранов </w:t>
      </w:r>
      <w:r>
        <w:rPr>
          <w:rFonts w:asciiTheme="majorBidi" w:hAnsiTheme="majorBidi" w:cstheme="majorBidi"/>
          <w:sz w:val="24"/>
          <w:lang w:val="en-US"/>
        </w:rPr>
        <w:t xml:space="preserve">FortiGate</w:t>
      </w:r>
      <w:r>
        <w:rPr>
          <w:rFonts w:asciiTheme="majorBidi" w:hAnsiTheme="majorBidi" w:cstheme="majorBidi"/>
          <w:sz w:val="24"/>
        </w:rPr>
        <w:t xml:space="preserve">:</w:t>
      </w:r>
      <w:r>
        <w:rPr>
          <w:rFonts w:asciiTheme="majorBidi" w:hAnsiTheme="majorBidi" w:cstheme="majorBidi"/>
          <w:sz w:val="24"/>
        </w:rPr>
      </w:r>
    </w:p>
    <w:tbl>
      <w:tblPr>
        <w:tblW w:w="5000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583"/>
        <w:gridCol w:w="7320"/>
        <w:gridCol w:w="706"/>
        <w:gridCol w:w="726"/>
      </w:tblGrid>
      <w:tr>
        <w:tblPrEx/>
        <w:trPr>
          <w:trHeight w:val="360"/>
          <w:tblHeader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left"/>
              <w:keepLines w:val="0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п/п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left"/>
              <w:keepLines w:val="0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left"/>
              <w:keepLines w:val="0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Ед. изм.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left"/>
              <w:keepLines w:val="0"/>
              <w:spacing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Кол-во</w:t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70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center"/>
              <w:keepLines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left"/>
              <w:keepLines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Право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доступа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серверу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обновлений</w:t>
            </w:r>
            <w:r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месяцев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Unified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Threat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Protection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  <w:lang w:val="en-US"/>
              </w:rPr>
              <w:t xml:space="preserve">UTP</w:t>
            </w:r>
            <w:r>
              <w:rPr>
                <w:color w:val="000000"/>
              </w:rPr>
              <w:t xml:space="preserve">) (</w:t>
            </w:r>
            <w:r>
              <w:rPr>
                <w:color w:val="000000"/>
                <w:lang w:val="en-US"/>
              </w:rPr>
              <w:t xml:space="preserve">IPS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 xml:space="preserve">Advanced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Malware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Protec</w:t>
            </w:r>
            <w:r>
              <w:rPr>
                <w:color w:val="000000"/>
                <w:lang w:val="en-US"/>
              </w:rPr>
              <w:t xml:space="preserve">tion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 xml:space="preserve">Application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Control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 xml:space="preserve">URL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 xml:space="preserve">DNS</w:t>
            </w:r>
            <w:r>
              <w:rPr>
                <w:color w:val="000000"/>
              </w:rPr>
              <w:t xml:space="preserve"> &amp; </w:t>
            </w:r>
            <w:r>
              <w:rPr>
                <w:color w:val="000000"/>
                <w:lang w:val="en-US"/>
              </w:rPr>
              <w:t xml:space="preserve">Video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Filtering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 xml:space="preserve">Antispam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Service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тех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поддержка</w:t>
            </w:r>
            <w:r>
              <w:rPr>
                <w:color w:val="000000"/>
              </w:rPr>
              <w:t xml:space="preserve">)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подписка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Kaspersky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Threat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Data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Feeds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Bundle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  <w:lang w:val="en-US"/>
              </w:rPr>
              <w:t xml:space="preserve">Network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Security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URL</w:t>
            </w:r>
            <w:r>
              <w:rPr>
                <w:color w:val="000000"/>
              </w:rPr>
              <w:t xml:space="preserve"> &amp; </w:t>
            </w:r>
            <w:r>
              <w:rPr>
                <w:color w:val="000000"/>
                <w:lang w:val="en-US"/>
              </w:rPr>
              <w:t xml:space="preserve">Network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Security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IP</w:t>
            </w:r>
            <w:r>
              <w:rPr>
                <w:color w:val="000000"/>
              </w:rPr>
              <w:t xml:space="preserve">)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для</w:t>
            </w:r>
            <w:r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 xml:space="preserve">х</w:t>
            </w:r>
            <w:r>
              <w:rPr>
                <w:color w:val="000000"/>
                <w:lang w:val="en-US"/>
              </w:rPr>
              <w:t xml:space="preserve">FortiGate</w:t>
            </w:r>
            <w:r>
              <w:rPr>
                <w:color w:val="000000"/>
              </w:rPr>
              <w:t xml:space="preserve">-100</w:t>
            </w:r>
            <w:r>
              <w:rPr>
                <w:color w:val="000000"/>
                <w:lang w:val="en-US"/>
              </w:rPr>
              <w:t xml:space="preserve">F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сроком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действия</w:t>
            </w:r>
            <w:r>
              <w:rPr>
                <w:color w:val="000000"/>
              </w:rPr>
              <w:t xml:space="preserve"> 12 </w:t>
            </w:r>
            <w:r>
              <w:rPr>
                <w:color w:val="000000"/>
              </w:rPr>
              <w:t xml:space="preserve">месяцев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center"/>
              <w:keepLines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center"/>
              <w:keepLines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642"/>
        <w:contextualSpacing w:val="0"/>
        <w:ind w:firstLine="0"/>
        <w:spacing w:line="240" w:lineRule="auto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</w:r>
      <w:r>
        <w:rPr>
          <w:rFonts w:asciiTheme="majorBidi" w:hAnsiTheme="majorBidi" w:cstheme="majorBidi"/>
          <w:sz w:val="24"/>
        </w:rPr>
      </w:r>
    </w:p>
    <w:p>
      <w:pPr>
        <w:pStyle w:val="642"/>
        <w:ind w:left="709"/>
        <w:spacing w:line="240" w:lineRule="auto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</w:r>
      <w:r>
        <w:rPr>
          <w:rFonts w:asciiTheme="majorBidi" w:hAnsiTheme="majorBidi" w:cstheme="majorBidi"/>
          <w:sz w:val="24"/>
        </w:rPr>
      </w:r>
    </w:p>
    <w:p>
      <w:pPr>
        <w:pStyle w:val="642"/>
        <w:numPr>
          <w:ilvl w:val="1"/>
          <w:numId w:val="1"/>
        </w:numPr>
        <w:contextualSpacing w:val="0"/>
        <w:ind w:left="0" w:firstLine="709"/>
        <w:spacing w:line="240" w:lineRule="auto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Перечень номеров оборудования Forti</w:t>
      </w:r>
      <w:r>
        <w:rPr>
          <w:rFonts w:hint="cs" w:asciiTheme="majorBidi" w:hAnsiTheme="majorBidi" w:cstheme="majorBidi"/>
          <w:sz w:val="24"/>
        </w:rPr>
        <w:t xml:space="preserve">G</w:t>
      </w:r>
      <w:r>
        <w:rPr>
          <w:rFonts w:asciiTheme="majorBidi" w:hAnsiTheme="majorBidi" w:cstheme="majorBidi"/>
          <w:sz w:val="24"/>
        </w:rPr>
        <w:t xml:space="preserve">ate для обеспечения технической поддержки сроком </w:t>
      </w:r>
      <w:r>
        <w:rPr>
          <w:rFonts w:asciiTheme="majorBidi" w:hAnsiTheme="majorBidi" w:cstheme="majorBidi"/>
          <w:sz w:val="24"/>
        </w:rPr>
        <w:t xml:space="preserve">на 1</w:t>
      </w:r>
      <w:r>
        <w:rPr>
          <w:rFonts w:asciiTheme="majorBidi" w:hAnsiTheme="majorBidi" w:cstheme="majorBidi"/>
          <w:sz w:val="24"/>
        </w:rPr>
        <w:t xml:space="preserve">2</w:t>
      </w:r>
      <w:r>
        <w:rPr>
          <w:rFonts w:asciiTheme="majorBidi" w:hAnsiTheme="majorBidi" w:cstheme="majorBidi"/>
          <w:sz w:val="24"/>
        </w:rPr>
        <w:t xml:space="preserve"> </w:t>
      </w:r>
      <w:r>
        <w:rPr>
          <w:rFonts w:asciiTheme="majorBidi" w:hAnsiTheme="majorBidi" w:cstheme="majorBidi"/>
          <w:sz w:val="24"/>
        </w:rPr>
        <w:t xml:space="preserve">месяцев</w:t>
      </w:r>
      <w:r>
        <w:rPr>
          <w:rFonts w:asciiTheme="majorBidi" w:hAnsiTheme="majorBidi" w:cstheme="majorBidi"/>
          <w:sz w:val="24"/>
        </w:rPr>
        <w:t xml:space="preserve">:</w:t>
      </w:r>
      <w:r>
        <w:rPr>
          <w:rFonts w:asciiTheme="majorBidi" w:hAnsiTheme="majorBidi" w:cstheme="majorBidi"/>
          <w:sz w:val="24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77"/>
        <w:gridCol w:w="3786"/>
        <w:gridCol w:w="4982"/>
      </w:tblGrid>
      <w:tr>
        <w:tblPrEx/>
        <w:trPr>
          <w:trHeight w:val="29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left"/>
              <w:keepNext/>
              <w:spacing w:before="40" w:after="0" w:line="240" w:lineRule="auto"/>
              <w:tabs>
                <w:tab w:val="left" w:pos="567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</w:t>
            </w:r>
            <w:r>
              <w:rPr>
                <w:b/>
                <w:bCs/>
              </w:rPr>
            </w:r>
          </w:p>
          <w:p>
            <w:pPr>
              <w:ind w:firstLine="0"/>
              <w:jc w:val="left"/>
              <w:keepNext/>
              <w:spacing w:before="40" w:after="0" w:line="240" w:lineRule="auto"/>
              <w:tabs>
                <w:tab w:val="left" w:pos="567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п/п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left"/>
              <w:keepNext/>
              <w:spacing w:before="40" w:after="0" w:line="240" w:lineRule="auto"/>
              <w:tabs>
                <w:tab w:val="left" w:pos="567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устройства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left"/>
              <w:keepNext/>
              <w:spacing w:before="40" w:after="0" w:line="240" w:lineRule="auto"/>
              <w:tabs>
                <w:tab w:val="left" w:pos="567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Серийный номер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9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center"/>
              <w:keepNext/>
              <w:spacing w:before="40" w:after="0" w:line="240" w:lineRule="auto"/>
              <w:tabs>
                <w:tab w:val="left" w:pos="567" w:leader="none"/>
              </w:tabs>
            </w:pPr>
            <w:r>
              <w:t xml:space="preserve">1</w:t>
            </w:r>
            <w:r/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left"/>
              <w:keepNext/>
              <w:spacing w:before="40" w:after="0" w:line="240" w:lineRule="auto"/>
              <w:tabs>
                <w:tab w:val="left" w:pos="567" w:leader="none"/>
              </w:tabs>
              <w:rPr>
                <w:lang w:val="en-US"/>
              </w:rPr>
            </w:pPr>
            <w:r>
              <w:t xml:space="preserve">Межсетевой экран FortiGate-</w:t>
            </w:r>
            <w:r>
              <w:rPr>
                <w:lang w:val="en-US"/>
              </w:rPr>
              <w:t xml:space="preserve">100F</w:t>
            </w:r>
            <w:r>
              <w:rPr>
                <w:lang w:val="en-US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ind w:firstLine="0"/>
              <w:jc w:val="left"/>
              <w:keepNext/>
              <w:spacing w:before="40" w:after="0" w:line="240" w:lineRule="auto"/>
              <w:tabs>
                <w:tab w:val="left" w:pos="567" w:leader="none"/>
              </w:tabs>
            </w:pPr>
            <w:r>
              <w:t xml:space="preserve">Предоставляется после подписания договора</w:t>
            </w:r>
            <w:r>
              <w:t xml:space="preserve"> </w:t>
            </w:r>
            <w:r/>
          </w:p>
        </w:tc>
      </w:tr>
    </w:tbl>
    <w:p>
      <w:pPr>
        <w:pStyle w:val="642"/>
        <w:ind w:left="709"/>
        <w:spacing w:line="240" w:lineRule="auto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</w:r>
      <w:r>
        <w:rPr>
          <w:rFonts w:asciiTheme="majorBidi" w:hAnsiTheme="majorBidi" w:cstheme="majorBidi"/>
          <w:sz w:val="24"/>
        </w:rPr>
      </w:r>
    </w:p>
    <w:p>
      <w:pPr>
        <w:pStyle w:val="642"/>
        <w:ind w:left="709"/>
        <w:spacing w:line="240" w:lineRule="auto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0"/>
          <w:numId w:val="1"/>
        </w:numPr>
        <w:ind w:left="0" w:firstLine="709"/>
        <w:jc w:val="left"/>
        <w:shd w:val="clear" w:color="auto" w:fill="ffffff"/>
        <w:rPr>
          <w:rFonts w:asciiTheme="majorBidi" w:hAnsiTheme="majorBidi" w:cstheme="majorBidi"/>
          <w:b/>
          <w:bCs/>
          <w:sz w:val="24"/>
        </w:rPr>
      </w:pPr>
      <w:r>
        <w:rPr>
          <w:rFonts w:asciiTheme="majorBidi" w:hAnsiTheme="majorBidi" w:cstheme="majorBidi"/>
          <w:b/>
          <w:bCs/>
          <w:sz w:val="24"/>
        </w:rPr>
        <w:t xml:space="preserve">Требования </w:t>
      </w:r>
      <w:r>
        <w:rPr>
          <w:rFonts w:asciiTheme="majorBidi" w:hAnsiTheme="majorBidi" w:cstheme="majorBidi"/>
          <w:b/>
          <w:bCs/>
          <w:sz w:val="24"/>
        </w:rPr>
      </w:r>
    </w:p>
    <w:p>
      <w:pPr>
        <w:pStyle w:val="642"/>
        <w:numPr>
          <w:ilvl w:val="1"/>
          <w:numId w:val="1"/>
        </w:numPr>
        <w:ind w:left="0" w:firstLine="900"/>
        <w:spacing w:line="240" w:lineRule="auto"/>
        <w:rPr>
          <w:sz w:val="24"/>
        </w:rPr>
      </w:pPr>
      <w:r>
        <w:rPr>
          <w:sz w:val="24"/>
        </w:rPr>
        <w:t xml:space="preserve">Поставщик обязан </w:t>
      </w:r>
      <w:r>
        <w:rPr>
          <w:rFonts w:asciiTheme="majorBidi" w:hAnsiTheme="majorBidi" w:cstheme="majorBidi"/>
          <w:sz w:val="24"/>
        </w:rPr>
        <w:t xml:space="preserve">предоставлять </w:t>
      </w:r>
      <w:r>
        <w:rPr>
          <w:sz w:val="24"/>
        </w:rPr>
        <w:tab/>
        <w:t xml:space="preserve">право доступа к серверу обновлений 1 год Unified Threat Protection (UTP</w:t>
      </w:r>
      <w:r>
        <w:rPr>
          <w:sz w:val="24"/>
        </w:rPr>
        <w:t xml:space="preserve">) (IPS, Advanced Malware Protec</w:t>
      </w:r>
      <w:r>
        <w:rPr>
          <w:sz w:val="24"/>
        </w:rPr>
        <w:t xml:space="preserve">tion, Application Control, URL, DNS &amp; Video Filtering, Antispam Service, тех. поддержка)</w:t>
      </w:r>
      <w:r>
        <w:rPr>
          <w:sz w:val="24"/>
        </w:rPr>
        <w:t xml:space="preserve">, подписка Kaspersky Threat Data Feeds Bundle (Network Security URL &amp; Network Security IP)</w:t>
      </w:r>
      <w:r>
        <w:rPr>
          <w:sz w:val="24"/>
        </w:rPr>
        <w:t xml:space="preserve"> для 2хFortiGate-100F сроком действия 12 месяцев</w:t>
      </w:r>
      <w:r>
        <w:rPr>
          <w:sz w:val="24"/>
        </w:rPr>
        <w:t xml:space="preserve">. Воспользовавшись данным </w:t>
      </w:r>
      <w:r>
        <w:rPr>
          <w:sz w:val="24"/>
        </w:rPr>
        <w:t xml:space="preserve">правом</w:t>
      </w:r>
      <w:r>
        <w:rPr>
          <w:sz w:val="24"/>
        </w:rPr>
        <w:t xml:space="preserve">, Покупатель (Заказчик) получает консультации</w:t>
      </w:r>
      <w:r>
        <w:rPr>
          <w:sz w:val="24"/>
        </w:rPr>
        <w:t xml:space="preserve">, техническую поддержку в режиме 24</w:t>
      </w:r>
      <w:r>
        <w:rPr>
          <w:sz w:val="24"/>
          <w:lang w:val="en-US"/>
        </w:rPr>
        <w:t xml:space="preserve">x</w:t>
      </w:r>
      <w:r>
        <w:rPr>
          <w:sz w:val="24"/>
        </w:rPr>
        <w:t xml:space="preserve">7. В случае невозможности определения Заказчиком неисправности, специалист Поставщика должен в течение 8 (восьми) рабочих часов выехать на объект заказчика для определения данной неисправности.</w:t>
      </w:r>
      <w:r>
        <w:rPr>
          <w:sz w:val="24"/>
        </w:rPr>
      </w:r>
    </w:p>
    <w:p>
      <w:pPr>
        <w:pStyle w:val="642"/>
        <w:numPr>
          <w:ilvl w:val="1"/>
          <w:numId w:val="1"/>
        </w:numPr>
        <w:contextualSpacing w:val="0"/>
        <w:ind w:left="0" w:firstLine="851"/>
        <w:spacing w:line="240" w:lineRule="auto"/>
        <w:rPr>
          <w:sz w:val="24"/>
        </w:rPr>
      </w:pPr>
      <w:r>
        <w:rPr>
          <w:sz w:val="24"/>
        </w:rPr>
        <w:t xml:space="preserve">Поставщик обеспечивает подключение межсетевых экранов FortiGate</w:t>
      </w:r>
      <w:r>
        <w:rPr>
          <w:sz w:val="24"/>
        </w:rPr>
        <w:t xml:space="preserve"> 100</w:t>
      </w:r>
      <w:r>
        <w:rPr>
          <w:sz w:val="24"/>
          <w:lang w:val="en-US"/>
        </w:rPr>
        <w:t xml:space="preserve">F</w:t>
      </w:r>
      <w:r>
        <w:rPr>
          <w:sz w:val="24"/>
        </w:rPr>
        <w:t xml:space="preserve"> к серверу динамических списков вредоносных ресурсов для использования их в политиках безопасности межсетевых экранов со следующими характеристиками:</w:t>
      </w:r>
      <w:r>
        <w:rPr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IP-адреса и подсети – не менее</w:t>
      </w:r>
      <w:r>
        <w:rPr>
          <w:rFonts w:asciiTheme="majorBidi" w:hAnsiTheme="majorBidi" w:cstheme="majorBidi"/>
          <w:sz w:val="24"/>
        </w:rPr>
        <w:t xml:space="preserve"> 150 000 записей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Домены – не менее</w:t>
      </w:r>
      <w:r>
        <w:rPr>
          <w:rFonts w:asciiTheme="majorBidi" w:hAnsiTheme="majorBidi" w:cstheme="majorBidi"/>
          <w:sz w:val="24"/>
        </w:rPr>
        <w:t xml:space="preserve"> 4 000 000 записей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URL-адреса – не менее</w:t>
      </w:r>
      <w:r>
        <w:rPr>
          <w:rFonts w:asciiTheme="majorBidi" w:hAnsiTheme="majorBidi" w:cstheme="majorBidi"/>
          <w:sz w:val="24"/>
        </w:rPr>
        <w:t xml:space="preserve"> 250 000 записей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HASH-суммы – не менее</w:t>
      </w:r>
      <w:r>
        <w:rPr>
          <w:rFonts w:asciiTheme="majorBidi" w:hAnsiTheme="majorBidi" w:cstheme="majorBidi"/>
          <w:sz w:val="24"/>
        </w:rPr>
        <w:t xml:space="preserve"> 150 000 записей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30 активных списков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Валидация записей списков согласно правилам Fortinet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Управление списками через личный кабинет на портале находящимся на территории ЕАЭС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Управление списками через API-интерфейс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Выделенный персональный домен для получения списков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TLS-соединение, HTTP-авторизация для подключения межсетевых экранов к сервису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обеспечить загрузку и выгрузку списков в виде текстовых файлов.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предоставить API-интерфейс для управления своими списками, в том числе: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2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создание и удаление списков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2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активация/деактивация списков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2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добавление и удаление записей в списках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предоставить доступ к порталу управления, в рамках которого можно загружать собственные списки ресурсов;</w:t>
      </w:r>
      <w:r>
        <w:rPr>
          <w:rFonts w:asciiTheme="majorBidi" w:hAnsiTheme="majorBidi" w:cstheme="majorBidi"/>
          <w:sz w:val="24"/>
        </w:rPr>
      </w:r>
    </w:p>
    <w:p>
      <w:pPr>
        <w:pStyle w:val="642"/>
        <w:numPr>
          <w:ilvl w:val="1"/>
          <w:numId w:val="1"/>
        </w:numPr>
        <w:contextualSpacing w:val="0"/>
        <w:ind w:left="0" w:firstLine="851"/>
        <w:spacing w:line="240" w:lineRule="auto"/>
        <w:rPr>
          <w:rFonts w:asciiTheme="majorBidi" w:hAnsiTheme="majorBidi" w:cstheme="majorBidi"/>
          <w:sz w:val="24"/>
        </w:rPr>
      </w:pPr>
      <w:r>
        <w:rPr>
          <w:sz w:val="24"/>
        </w:rPr>
        <w:t xml:space="preserve">Поставщик </w:t>
      </w:r>
      <w:r>
        <w:rPr>
          <w:rFonts w:asciiTheme="majorBidi" w:hAnsiTheme="majorBidi" w:cstheme="majorBidi"/>
          <w:sz w:val="24"/>
        </w:rPr>
        <w:t xml:space="preserve">обеспечивает автоматическое обновление подписок безопасности для </w:t>
      </w:r>
      <w:r>
        <w:rPr>
          <w:rFonts w:asciiTheme="majorBidi" w:hAnsiTheme="majorBidi" w:cstheme="majorBidi"/>
          <w:sz w:val="24"/>
        </w:rPr>
        <w:t xml:space="preserve">межсетевых экранов </w:t>
      </w:r>
      <w:r>
        <w:rPr>
          <w:rFonts w:asciiTheme="majorBidi" w:hAnsiTheme="majorBidi" w:cstheme="majorBidi"/>
          <w:sz w:val="24"/>
          <w:lang w:val="en-US"/>
        </w:rPr>
        <w:t xml:space="preserve">Fortigate</w:t>
      </w:r>
      <w:r>
        <w:rPr>
          <w:rFonts w:asciiTheme="majorBidi" w:hAnsiTheme="majorBidi" w:cstheme="majorBidi"/>
          <w:sz w:val="24"/>
        </w:rPr>
        <w:t xml:space="preserve"> 100</w:t>
      </w:r>
      <w:r>
        <w:rPr>
          <w:rFonts w:asciiTheme="majorBidi" w:hAnsiTheme="majorBidi" w:cstheme="majorBidi"/>
          <w:sz w:val="24"/>
          <w:lang w:val="en-US"/>
        </w:rPr>
        <w:t xml:space="preserve">F</w:t>
      </w:r>
      <w:r>
        <w:rPr>
          <w:rFonts w:asciiTheme="majorBidi" w:hAnsiTheme="majorBidi" w:cstheme="majorBidi"/>
          <w:sz w:val="24"/>
        </w:rPr>
        <w:t xml:space="preserve">: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Application Control Signatures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Device &amp; OS Identification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Internet Service Database Definitions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IPS Definitions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IPS Engine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Malicious URLs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AV Definitions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AV Engine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Botnet IPs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Botnet Domains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Mobile Malware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Web Filtering</w:t>
      </w:r>
      <w:r>
        <w:rPr>
          <w:rFonts w:asciiTheme="majorBidi" w:hAnsiTheme="majorBidi" w:cstheme="majorBidi"/>
          <w:sz w:val="24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  <w:lang w:val="en-US"/>
        </w:rPr>
      </w:pPr>
      <w:r>
        <w:rPr>
          <w:rFonts w:asciiTheme="majorBidi" w:hAnsiTheme="majorBidi" w:cstheme="majorBidi"/>
          <w:sz w:val="24"/>
          <w:lang w:val="en-US"/>
        </w:rPr>
        <w:t xml:space="preserve">Network Security URL Kaspersky Threat Data Feeds</w:t>
      </w:r>
      <w:r>
        <w:rPr>
          <w:rFonts w:asciiTheme="majorBidi" w:hAnsiTheme="majorBidi" w:cstheme="majorBidi"/>
          <w:sz w:val="24"/>
          <w:lang w:val="en-US"/>
        </w:rPr>
      </w:r>
    </w:p>
    <w:p>
      <w:pPr>
        <w:pStyle w:val="648"/>
        <w:numPr>
          <w:ilvl w:val="1"/>
          <w:numId w:val="2"/>
        </w:numPr>
        <w:rPr>
          <w:rFonts w:asciiTheme="majorBidi" w:hAnsiTheme="majorBidi" w:cstheme="majorBidi"/>
          <w:sz w:val="24"/>
          <w:lang w:val="en-US"/>
        </w:rPr>
      </w:pPr>
      <w:r>
        <w:rPr>
          <w:rFonts w:asciiTheme="majorBidi" w:hAnsiTheme="majorBidi" w:cstheme="majorBidi"/>
          <w:sz w:val="24"/>
          <w:lang w:val="en-US"/>
        </w:rPr>
        <w:t xml:space="preserve">Network Security IP</w:t>
      </w:r>
      <w:r>
        <w:rPr>
          <w:lang w:val="en-US"/>
        </w:rPr>
        <w:t xml:space="preserve"> </w:t>
      </w:r>
      <w:r>
        <w:rPr>
          <w:rFonts w:asciiTheme="majorBidi" w:hAnsiTheme="majorBidi" w:cstheme="majorBidi"/>
          <w:sz w:val="24"/>
          <w:lang w:val="en-US"/>
        </w:rPr>
        <w:t xml:space="preserve">Kaspersky Threat Data Feeds</w:t>
      </w:r>
      <w:r>
        <w:rPr>
          <w:rFonts w:asciiTheme="majorBidi" w:hAnsiTheme="majorBidi" w:cstheme="majorBidi"/>
          <w:sz w:val="24"/>
          <w:lang w:val="en-US"/>
        </w:rPr>
      </w:r>
    </w:p>
    <w:p>
      <w:pPr>
        <w:pStyle w:val="642"/>
        <w:numPr>
          <w:ilvl w:val="1"/>
          <w:numId w:val="1"/>
        </w:numPr>
        <w:contextualSpacing w:val="0"/>
        <w:ind w:left="0" w:firstLine="851"/>
        <w:spacing w:line="240" w:lineRule="auto"/>
        <w:rPr>
          <w:rFonts w:asciiTheme="majorBidi" w:hAnsiTheme="majorBidi" w:cstheme="majorBidi"/>
          <w:sz w:val="24"/>
        </w:rPr>
      </w:pPr>
      <w:r>
        <w:rPr>
          <w:sz w:val="24"/>
        </w:rPr>
        <w:t xml:space="preserve">Поставщик предоставляет </w:t>
      </w:r>
      <w:r>
        <w:rPr>
          <w:rFonts w:asciiTheme="majorBidi" w:hAnsiTheme="majorBidi" w:cstheme="majorBidi"/>
          <w:sz w:val="24"/>
        </w:rPr>
        <w:t xml:space="preserve">новые версии ПО </w:t>
      </w:r>
      <w:r>
        <w:rPr>
          <w:rFonts w:asciiTheme="majorBidi" w:hAnsiTheme="majorBidi" w:cstheme="majorBidi"/>
          <w:sz w:val="24"/>
          <w:lang w:val="en-US"/>
        </w:rPr>
        <w:t xml:space="preserve">FortiGate</w:t>
      </w:r>
      <w:r>
        <w:rPr>
          <w:rFonts w:asciiTheme="majorBidi" w:hAnsiTheme="majorBidi" w:cstheme="majorBidi"/>
          <w:sz w:val="24"/>
        </w:rPr>
        <w:t xml:space="preserve">, пакетов сигнатур для подписок безопасности для существующих решений по сетевой безопасности в ИТ-инфраструктуре.</w:t>
      </w:r>
      <w:r>
        <w:rPr>
          <w:rFonts w:asciiTheme="majorBidi" w:hAnsiTheme="majorBidi" w:cstheme="majorBidi"/>
          <w:sz w:val="24"/>
        </w:rPr>
      </w:r>
    </w:p>
    <w:p>
      <w:pPr>
        <w:pStyle w:val="642"/>
        <w:contextualSpacing w:val="0"/>
        <w:ind w:firstLine="0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69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41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413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85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57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29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701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73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45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8" w:hanging="1128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979" w:hanging="1128"/>
      </w:pPr>
      <w:rPr>
        <w:rFonts w:hint="default"/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75" w:hanging="1128"/>
      </w:pPr>
      <w:rPr>
        <w:rFonts w:hint="default"/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55" w:hanging="1128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4" w:hanging="1128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73" w:hanging="1128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8" w:hanging="1128"/>
      </w:pPr>
      <w:rPr>
        <w:rFonts w:hint="default"/>
        <w:b/>
      </w:rPr>
    </w:lvl>
    <w:lvl w:ilvl="1">
      <w:start w:val="1"/>
      <w:numFmt w:val="bullet"/>
      <w:isLgl w:val="false"/>
      <w:suff w:val="tab"/>
      <w:lvlText w:val=""/>
      <w:lvlJc w:val="left"/>
      <w:pPr>
        <w:ind w:left="1211" w:hanging="360"/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75" w:hanging="1128"/>
      </w:pPr>
      <w:rPr>
        <w:rFonts w:hint="default"/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55" w:hanging="1128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4" w:hanging="1128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73" w:hanging="1128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−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8" w:hanging="1128"/>
      </w:pPr>
      <w:rPr>
        <w:rFonts w:hint="default"/>
        <w:b/>
      </w:rPr>
    </w:lvl>
    <w:lvl w:ilvl="1">
      <w:start w:val="1"/>
      <w:numFmt w:val="bullet"/>
      <w:isLgl w:val="false"/>
      <w:suff w:val="tab"/>
      <w:lvlText w:val=""/>
      <w:lvlJc w:val="left"/>
      <w:pPr>
        <w:ind w:left="1211" w:hanging="360"/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75" w:hanging="1128"/>
      </w:pPr>
      <w:rPr>
        <w:rFonts w:hint="default"/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55" w:hanging="1128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4" w:hanging="1128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73" w:hanging="1128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9"/>
    <w:link w:val="63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39"/>
    <w:link w:val="637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39"/>
    <w:link w:val="63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5"/>
    <w:next w:val="635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3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5"/>
    <w:next w:val="635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3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5"/>
    <w:next w:val="635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3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5"/>
    <w:next w:val="635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3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5"/>
    <w:next w:val="635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3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5"/>
    <w:next w:val="635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3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39"/>
    <w:link w:val="652"/>
    <w:uiPriority w:val="10"/>
    <w:rPr>
      <w:sz w:val="48"/>
      <w:szCs w:val="48"/>
    </w:rPr>
  </w:style>
  <w:style w:type="character" w:styleId="38">
    <w:name w:val="Subtitle Char"/>
    <w:basedOn w:val="639"/>
    <w:link w:val="650"/>
    <w:uiPriority w:val="11"/>
    <w:rPr>
      <w:sz w:val="24"/>
      <w:szCs w:val="24"/>
    </w:rPr>
  </w:style>
  <w:style w:type="paragraph" w:styleId="39">
    <w:name w:val="Quote"/>
    <w:basedOn w:val="635"/>
    <w:next w:val="63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5"/>
    <w:next w:val="63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5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9"/>
    <w:link w:val="43"/>
    <w:uiPriority w:val="99"/>
  </w:style>
  <w:style w:type="paragraph" w:styleId="45">
    <w:name w:val="Footer"/>
    <w:basedOn w:val="635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9"/>
    <w:link w:val="45"/>
    <w:uiPriority w:val="99"/>
  </w:style>
  <w:style w:type="paragraph" w:styleId="47">
    <w:name w:val="Caption"/>
    <w:basedOn w:val="635"/>
    <w:next w:val="63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35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9"/>
    <w:uiPriority w:val="99"/>
    <w:unhideWhenUsed/>
    <w:rPr>
      <w:vertAlign w:val="superscript"/>
    </w:rPr>
  </w:style>
  <w:style w:type="paragraph" w:styleId="179">
    <w:name w:val="endnote text"/>
    <w:basedOn w:val="63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9"/>
    <w:uiPriority w:val="99"/>
    <w:semiHidden/>
    <w:unhideWhenUsed/>
    <w:rPr>
      <w:vertAlign w:val="superscript"/>
    </w:rPr>
  </w:style>
  <w:style w:type="paragraph" w:styleId="182">
    <w:name w:val="toc 1"/>
    <w:basedOn w:val="635"/>
    <w:next w:val="635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5"/>
    <w:next w:val="63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5"/>
    <w:next w:val="63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5"/>
    <w:next w:val="63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5"/>
    <w:next w:val="63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5"/>
    <w:next w:val="63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5"/>
    <w:next w:val="63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5"/>
    <w:next w:val="63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5"/>
    <w:next w:val="63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5"/>
    <w:next w:val="635"/>
    <w:uiPriority w:val="99"/>
    <w:unhideWhenUsed/>
    <w:pPr>
      <w:spacing w:after="0" w:afterAutospacing="0"/>
    </w:pPr>
  </w:style>
  <w:style w:type="paragraph" w:styleId="635" w:default="1">
    <w:name w:val="Normal"/>
    <w:qFormat/>
    <w:pPr>
      <w:ind w:firstLine="720"/>
      <w:jc w:val="both"/>
      <w:keepLines/>
      <w:spacing w:after="60" w:line="264" w:lineRule="auto"/>
    </w:pPr>
    <w:rPr>
      <w:rFonts w:ascii="Times New Roman" w:hAnsi="Times New Roman" w:eastAsia="Times New Roman" w:cs="Times New Roman"/>
    </w:rPr>
  </w:style>
  <w:style w:type="paragraph" w:styleId="636">
    <w:name w:val="Heading 1"/>
    <w:basedOn w:val="635"/>
    <w:next w:val="635"/>
    <w:qFormat/>
    <w:pPr>
      <w:spacing w:beforeAutospacing="1" w:afterAutospacing="1"/>
      <w:outlineLvl w:val="0"/>
    </w:pPr>
    <w:rPr>
      <w:sz w:val="40"/>
    </w:rPr>
  </w:style>
  <w:style w:type="paragraph" w:styleId="637">
    <w:name w:val="Heading 2"/>
    <w:basedOn w:val="635"/>
    <w:next w:val="635"/>
    <w:qFormat/>
    <w:pPr>
      <w:spacing w:beforeAutospacing="1" w:afterAutospacing="1"/>
      <w:outlineLvl w:val="1"/>
    </w:pPr>
    <w:rPr>
      <w:sz w:val="32"/>
    </w:rPr>
  </w:style>
  <w:style w:type="paragraph" w:styleId="638">
    <w:name w:val="Heading 3"/>
    <w:basedOn w:val="635"/>
    <w:next w:val="635"/>
    <w:qFormat/>
    <w:pPr>
      <w:spacing w:beforeAutospacing="1" w:afterAutospacing="1"/>
      <w:outlineLvl w:val="2"/>
    </w:pPr>
    <w:rPr>
      <w:sz w:val="28"/>
    </w:rPr>
  </w:style>
  <w:style w:type="character" w:styleId="639" w:default="1">
    <w:name w:val="Default Paragraph Font"/>
    <w:uiPriority w:val="1"/>
    <w:semiHidden/>
    <w:unhideWhenUsed/>
  </w:style>
  <w:style w:type="table" w:styleId="6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1" w:default="1">
    <w:name w:val="No List"/>
    <w:uiPriority w:val="99"/>
    <w:semiHidden/>
    <w:unhideWhenUsed/>
  </w:style>
  <w:style w:type="paragraph" w:styleId="642" w:customStyle="1">
    <w:name w:val="Обычный1"/>
    <w:basedOn w:val="635"/>
    <w:link w:val="643"/>
    <w:pPr>
      <w:contextualSpacing/>
      <w:ind w:firstLine="851"/>
      <w:keepLines w:val="0"/>
      <w:spacing w:after="0" w:line="360" w:lineRule="auto"/>
    </w:pPr>
    <w:rPr>
      <w:sz w:val="22"/>
    </w:rPr>
  </w:style>
  <w:style w:type="character" w:styleId="643" w:customStyle="1">
    <w:name w:val="Обычный Char Char"/>
    <w:link w:val="642"/>
    <w:rPr>
      <w:rFonts w:ascii="Times New Roman" w:hAnsi="Times New Roman" w:eastAsia="Times New Roman" w:cs="Times New Roman"/>
      <w:sz w:val="22"/>
    </w:rPr>
  </w:style>
  <w:style w:type="character" w:styleId="644">
    <w:name w:val="annotation reference"/>
    <w:uiPriority w:val="99"/>
    <w:rPr>
      <w:sz w:val="16"/>
      <w:szCs w:val="16"/>
    </w:rPr>
  </w:style>
  <w:style w:type="paragraph" w:styleId="645">
    <w:name w:val="annotation text"/>
    <w:basedOn w:val="635"/>
    <w:link w:val="646"/>
    <w:uiPriority w:val="99"/>
    <w:rPr>
      <w:sz w:val="20"/>
      <w:szCs w:val="20"/>
    </w:rPr>
  </w:style>
  <w:style w:type="character" w:styleId="646" w:customStyle="1">
    <w:name w:val="Текст примечания Знак"/>
    <w:basedOn w:val="639"/>
    <w:link w:val="645"/>
    <w:uiPriority w:val="99"/>
    <w:rPr>
      <w:rFonts w:ascii="Times New Roman" w:hAnsi="Times New Roman" w:eastAsia="Times New Roman" w:cs="Times New Roman"/>
      <w:sz w:val="20"/>
      <w:szCs w:val="20"/>
    </w:rPr>
  </w:style>
  <w:style w:type="character" w:styleId="647">
    <w:name w:val="Hyperlink"/>
    <w:uiPriority w:val="99"/>
    <w:semiHidden/>
    <w:unhideWhenUsed/>
    <w:rPr>
      <w:color w:val="2f69c7"/>
      <w:u w:val="single"/>
    </w:rPr>
  </w:style>
  <w:style w:type="paragraph" w:styleId="648">
    <w:name w:val="List Paragraph"/>
    <w:basedOn w:val="635"/>
    <w:link w:val="649"/>
    <w:uiPriority w:val="34"/>
    <w:qFormat/>
    <w:pPr>
      <w:contextualSpacing/>
      <w:ind w:left="720" w:firstLine="851"/>
      <w:keepLines w:val="0"/>
      <w:spacing w:after="0" w:line="240" w:lineRule="auto"/>
    </w:pPr>
    <w:rPr>
      <w:sz w:val="22"/>
    </w:rPr>
  </w:style>
  <w:style w:type="character" w:styleId="649" w:customStyle="1">
    <w:name w:val="Абзац списка Знак"/>
    <w:link w:val="648"/>
    <w:uiPriority w:val="34"/>
    <w:qFormat/>
    <w:rPr>
      <w:rFonts w:ascii="Times New Roman" w:hAnsi="Times New Roman" w:eastAsia="Times New Roman" w:cs="Times New Roman"/>
      <w:sz w:val="22"/>
    </w:rPr>
  </w:style>
  <w:style w:type="paragraph" w:styleId="650">
    <w:name w:val="Subtitle"/>
    <w:basedOn w:val="635"/>
    <w:next w:val="635"/>
    <w:qFormat/>
    <w:pPr>
      <w:spacing w:afterAutospacing="1"/>
    </w:pPr>
    <w:rPr>
      <w:color w:val="808080"/>
      <w:sz w:val="30"/>
    </w:rPr>
  </w:style>
  <w:style w:type="table" w:styleId="651">
    <w:name w:val="Table Grid"/>
    <w:basedOn w:val="640"/>
    <w:uiPriority w:val="39"/>
    <w:pPr>
      <w:spacing w:before="40" w:after="40" w:line="288" w:lineRule="auto"/>
      <w:tabs>
        <w:tab w:val="left" w:pos="567" w:leader="none"/>
      </w:tabs>
    </w:pPr>
    <w:rPr>
      <w:rFonts w:ascii="Times New Roman" w:hAnsi="Times New Roman" w:eastAsia="Times New Roman" w:cs="Times New Roman"/>
      <w:sz w:val="22"/>
      <w:szCs w:val="22"/>
    </w:rPr>
    <w:tblPr>
      <w:tblStyleRowBandSize w:val="3"/>
      <w:tblInd w:w="113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Times New Roman" w:hAnsi="Times New Roman"/>
        <w:b/>
        <w:color w:val="auto"/>
        <w:sz w:val="22"/>
      </w:rPr>
      <w:pPr>
        <w:contextualSpacing w:val="0"/>
        <w:ind w:left="0" w:right="0" w:firstLine="0"/>
        <w:jc w:val="center"/>
        <w:keepLines w:val="0"/>
        <w:keepNext/>
        <w:pageBreakBefore w:val="0"/>
        <w:spacing w:beforeAutospacing="0" w:afterAutospacing="0" w:line="288" w:lineRule="auto"/>
        <w:widowControl/>
        <w:outlineLvl w:val="9"/>
        <w:suppressLineNumbers w:val="0"/>
      </w:pPr>
      <w:trPr>
        <w:tblHeader/>
      </w:trPr>
      <w:tcPr>
        <w:vAlign w:val="center"/>
      </w:tcPr>
    </w:tblStylePr>
  </w:style>
  <w:style w:type="paragraph" w:styleId="652">
    <w:name w:val="Title"/>
    <w:basedOn w:val="635"/>
    <w:next w:val="635"/>
    <w:qFormat/>
    <w:pPr>
      <w:spacing w:afterAutospacing="1"/>
    </w:pPr>
    <w:rPr>
      <w:sz w:val="5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Prozorovsky</dc:creator>
  <cp:lastModifiedBy>Иванов Александр Анатольевич</cp:lastModifiedBy>
  <cp:revision>4</cp:revision>
  <dcterms:created xsi:type="dcterms:W3CDTF">2026-07-29T05:30:00Z</dcterms:created>
  <dcterms:modified xsi:type="dcterms:W3CDTF">2026-08-28T06:50:58Z</dcterms:modified>
</cp:coreProperties>
</file>