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3A204310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0B64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A159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4A1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517F8EB4" w:rsidR="00D9031C" w:rsidRPr="00BE3C4A" w:rsidRDefault="000B64A1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4A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A159A" w:rsidRPr="000A159A">
        <w:rPr>
          <w:rFonts w:ascii="Times New Roman" w:hAnsi="Times New Roman" w:cs="Times New Roman"/>
          <w:b/>
          <w:sz w:val="24"/>
          <w:szCs w:val="24"/>
        </w:rPr>
        <w:t>AU20260629382029/--- / 4618705 от 29.06.2026 МТ 605/26-ЭА «Многофункциональный гемодинамический монитор пациента с базовыми функциями для УЗ «Петриковская ЦРБ»</w:t>
      </w:r>
      <w:r w:rsidR="00343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65C98761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proofErr w:type="spellStart"/>
      <w:r w:rsidR="000A159A"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="000A159A"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  <w:r w:rsidR="000A1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B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Дайнеко Л.И.,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="006F1337">
        <w:rPr>
          <w:rFonts w:ascii="Times New Roman" w:hAnsi="Times New Roman" w:cs="Times New Roman"/>
          <w:color w:val="000000"/>
          <w:sz w:val="24"/>
          <w:szCs w:val="24"/>
        </w:rPr>
        <w:t xml:space="preserve">Носко О.А.,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4B4F8E13" w:rsidR="00E049C3" w:rsidRDefault="002E6C7A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0A159A" w:rsidRPr="000A159A">
        <w:rPr>
          <w:rFonts w:ascii="Times New Roman" w:hAnsi="Times New Roman" w:cs="Times New Roman"/>
          <w:color w:val="000000"/>
          <w:sz w:val="24"/>
          <w:szCs w:val="24"/>
        </w:rPr>
        <w:t>№ AU20260629382029/--- / 4618705 от 29.06.2026 МТ 605/26-ЭА «Многофункциональный гемодинамический монитор пациента с базовыми функциями для УЗ «Петриковская ЦРБ»</w:t>
      </w:r>
      <w:r w:rsidR="000A1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3D23D4" w14:textId="64B14CF0" w:rsidR="006C5ABD" w:rsidRPr="00343A2A" w:rsidRDefault="00A67EF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6C5ABD"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159A" w:rsidRPr="000A159A">
        <w:rPr>
          <w:rFonts w:ascii="Times New Roman" w:hAnsi="Times New Roman" w:cs="Times New Roman"/>
          <w:color w:val="000000"/>
          <w:sz w:val="24"/>
          <w:szCs w:val="24"/>
        </w:rPr>
        <w:t>Многофункциональный гемодинамический монитор пациента с базовыми функциями</w:t>
      </w:r>
    </w:p>
    <w:p w14:paraId="185F36E0" w14:textId="77777777" w:rsidR="006F1337" w:rsidRPr="00BE3C4A" w:rsidRDefault="006F1337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AB78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772C11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1415CD04" w:rsid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6C5AB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</w:t>
      </w:r>
      <w:r w:rsidR="00B50140">
        <w:rPr>
          <w:rFonts w:ascii="Times New Roman" w:hAnsi="Times New Roman"/>
          <w:sz w:val="24"/>
          <w:szCs w:val="24"/>
        </w:rPr>
        <w:t>2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 w:rsidR="00B50140">
        <w:rPr>
          <w:rFonts w:ascii="Times New Roman" w:hAnsi="Times New Roman"/>
          <w:sz w:val="24"/>
          <w:szCs w:val="24"/>
        </w:rPr>
        <w:t>два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47B7101A" w:rsidR="007D0D36" w:rsidRDefault="007D1586" w:rsidP="002C627B">
      <w:pPr>
        <w:pStyle w:val="ConsPlusNonformat"/>
        <w:widowControl w:val="0"/>
        <w:numPr>
          <w:ilvl w:val="1"/>
          <w:numId w:val="16"/>
        </w:numPr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D1586">
        <w:rPr>
          <w:rFonts w:ascii="Times New Roman" w:eastAsiaTheme="minorHAnsi" w:hAnsi="Times New Roman" w:cs="Times New Roman"/>
          <w:sz w:val="24"/>
          <w:szCs w:val="24"/>
        </w:rPr>
        <w:t>комиссией по государственным закупкам направлены запросы участникам о разъяснении их предложений и на них были даны следующие ответы</w:t>
      </w:r>
      <w:r w:rsidR="002C627B">
        <w:rPr>
          <w:rFonts w:ascii="Times New Roman" w:eastAsiaTheme="minorHAnsi" w:hAnsi="Times New Roman" w:cs="Times New Roman"/>
          <w:sz w:val="24"/>
          <w:szCs w:val="24"/>
        </w:rPr>
        <w:t>:</w:t>
      </w:r>
    </w:p>
    <w:tbl>
      <w:tblPr>
        <w:tblStyle w:val="a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4253"/>
      </w:tblGrid>
      <w:tr w:rsidR="002C627B" w14:paraId="37115FFA" w14:textId="77777777" w:rsidTr="002C627B">
        <w:tc>
          <w:tcPr>
            <w:tcW w:w="2410" w:type="dxa"/>
            <w:vAlign w:val="center"/>
          </w:tcPr>
          <w:p w14:paraId="423C482F" w14:textId="77777777" w:rsidR="002C627B" w:rsidRPr="000A159A" w:rsidRDefault="002C627B" w:rsidP="002B68B5">
            <w:pPr>
              <w:pStyle w:val="ConsPlusNonformat"/>
              <w:widowControl w:val="0"/>
              <w:ind w:right="-5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2" w:type="dxa"/>
            <w:vAlign w:val="center"/>
          </w:tcPr>
          <w:p w14:paraId="1DAA0EB7" w14:textId="77777777" w:rsidR="002C627B" w:rsidRPr="000A159A" w:rsidRDefault="002C627B" w:rsidP="002B68B5">
            <w:pPr>
              <w:pStyle w:val="ConsPlusNonformat"/>
              <w:widowControl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4253" w:type="dxa"/>
            <w:vAlign w:val="center"/>
          </w:tcPr>
          <w:p w14:paraId="20033B94" w14:textId="342764E7" w:rsidR="002C627B" w:rsidRPr="000A159A" w:rsidRDefault="002C627B" w:rsidP="002B68B5">
            <w:pPr>
              <w:pStyle w:val="ConsPlusNonformat"/>
              <w:widowControl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запросы</w:t>
            </w:r>
          </w:p>
        </w:tc>
      </w:tr>
      <w:tr w:rsidR="002C627B" w14:paraId="4CB93050" w14:textId="77777777" w:rsidTr="002C627B">
        <w:tc>
          <w:tcPr>
            <w:tcW w:w="2410" w:type="dxa"/>
            <w:vMerge w:val="restart"/>
          </w:tcPr>
          <w:p w14:paraId="309BD10A" w14:textId="77777777" w:rsidR="002C627B" w:rsidRPr="000A159A" w:rsidRDefault="002C627B" w:rsidP="002B68B5">
            <w:pPr>
              <w:pStyle w:val="ConsPlusNonformat"/>
              <w:widowControl w:val="0"/>
              <w:ind w:right="-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D1586">
              <w:rPr>
                <w:rFonts w:ascii="Times New Roman" w:hAnsi="Times New Roman" w:cs="Times New Roman"/>
                <w:sz w:val="24"/>
                <w:szCs w:val="24"/>
              </w:rPr>
              <w:t>O20260713426939</w:t>
            </w:r>
          </w:p>
        </w:tc>
        <w:tc>
          <w:tcPr>
            <w:tcW w:w="3402" w:type="dxa"/>
          </w:tcPr>
          <w:p w14:paraId="64AF3097" w14:textId="77777777" w:rsidR="002C627B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росим разъяснить, где в предложении участника </w:t>
            </w: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(наименование документа, номер страницы, пункта и т.д.) содержится информация от изготовителя (производителя) предлагаемых манжет, подтверждающая их размеры (п. 3.3.1 и 3.3.2 Приложения 1 Технические характеристики).</w:t>
            </w:r>
          </w:p>
        </w:tc>
        <w:tc>
          <w:tcPr>
            <w:tcW w:w="4253" w:type="dxa"/>
          </w:tcPr>
          <w:p w14:paraId="2FE80765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 представленных документах, в Руководстве по эксплуатации (РЭ), </w:t>
            </w: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информация о комплектации манжетами содержится на странице 96, в пункте 20.3. В указанном разделе производителем обозначены следующие позиции:</w:t>
            </w:r>
          </w:p>
          <w:p w14:paraId="73706ECD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Манжета для новорожденных, многоразовая;</w:t>
            </w:r>
          </w:p>
          <w:p w14:paraId="3B57A8C2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2CF1DEBD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Манжета для детей, многоразовая;</w:t>
            </w:r>
          </w:p>
          <w:p w14:paraId="55FABE58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Манжета для взрослых, многоразовая, малая;</w:t>
            </w:r>
          </w:p>
          <w:p w14:paraId="0F650CF7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Манжета для взрослых, многоразовая, средняя;</w:t>
            </w:r>
          </w:p>
          <w:p w14:paraId="32AF0EC9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Манжета для взрослых, многоразовая, большая;</w:t>
            </w:r>
          </w:p>
          <w:p w14:paraId="00D7118F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Ножная манжета для взрослых, многоразовая.</w:t>
            </w:r>
          </w:p>
          <w:p w14:paraId="55C95AF0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Обращаем Ваше внимание, что в технической документации производителя отсутствуют фиксированные значения в сантиметрах для каждой из перечисленных манжет. Это обусловлено тем, что единый универсальный обхват не является строго регламентированным параметром в рамках отраслевых стандартов на данный тип изделий — различные рынки сбыта и различные категории пациентов требуют индивидуального подхода. В Регистрационном удостоверении перечислены все типы манжет в общем виде.</w:t>
            </w:r>
          </w:p>
          <w:p w14:paraId="28B287AD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В связи с изложенным, конкретные размеры (в см) не указаны в РЭ. В нашем Листе технической комплектации (позиции № 9 и 10) указаны:</w:t>
            </w:r>
          </w:p>
          <w:p w14:paraId="640BB8A9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Манжета для взрослых, многоразовая, средняя (25-35 см) — 1 шт.;</w:t>
            </w:r>
          </w:p>
          <w:p w14:paraId="30B809CE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Манжета для взрослых, многоразовая, большая (33-47 см) — 1 шт.</w:t>
            </w:r>
          </w:p>
          <w:p w14:paraId="1F5CF895" w14:textId="77777777" w:rsidR="002C627B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Таким образом, предложение участника в полном объеме соответствует требованиям п. 3.3.1 и 3.3.2 Приложения 1.</w:t>
            </w:r>
          </w:p>
        </w:tc>
      </w:tr>
      <w:tr w:rsidR="002C627B" w14:paraId="3A2F70D4" w14:textId="77777777" w:rsidTr="002C627B">
        <w:tc>
          <w:tcPr>
            <w:tcW w:w="2410" w:type="dxa"/>
            <w:vMerge/>
          </w:tcPr>
          <w:p w14:paraId="777F5223" w14:textId="77777777" w:rsidR="002C627B" w:rsidRPr="000A159A" w:rsidRDefault="002C627B" w:rsidP="002B68B5">
            <w:pPr>
              <w:pStyle w:val="ConsPlusNonformat"/>
              <w:widowControl w:val="0"/>
              <w:ind w:right="-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7F0A30" w14:textId="77777777" w:rsidR="002C627B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росим разъяснить, где в </w:t>
            </w: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предложении участника (наименование документа, номер страницы, пункта и т.д.) содержится информация от изготовителя (производителя) о том, что предлагаемые электроды ЭКГ являются одноразовыми клеящимися (п. 3.2 Приложения 1 Технические характеристики).</w:t>
            </w:r>
          </w:p>
        </w:tc>
        <w:tc>
          <w:tcPr>
            <w:tcW w:w="4253" w:type="dxa"/>
          </w:tcPr>
          <w:p w14:paraId="26B6CED9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 представленной документации, в </w:t>
            </w: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частности в Руководстве по эксплуатации (РЭ), в разделе 20.1 «Комплектующие детали для ЭКГ» на странице 96, комплектующие «Электрод ЭКГ, для взрослых» и «Электрод ЭКГ, для детей» указаны как «Одноразовые». </w:t>
            </w:r>
          </w:p>
          <w:p w14:paraId="4E2A1487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При этом техническая документация производителя не содержит и не может содержать сведений о том, что существуют одноразовые </w:t>
            </w:r>
            <w:proofErr w:type="spellStart"/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неклеящиеся</w:t>
            </w:r>
            <w:proofErr w:type="spellEnd"/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электроды, поскольку одноразовые электроды по своей конструкции и назначению всегда являются самоклеящимися для обеспечения надежного контакта с кожей пациента. Различные рынки сбыта могут предъявлять разные требования к форме и материалу электродов, однако их одноразовый и клеящийся характер остается неизменным.</w:t>
            </w:r>
          </w:p>
          <w:p w14:paraId="3F6253A3" w14:textId="77777777" w:rsidR="002C627B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В нашем Листе технической комплектации (позиция № 11) указаны именно одноразовые клеящиеся электроды для взрослых в количестве 150 штук, что полностью соответствует требованиям п. 3.2 Приложения 1.</w:t>
            </w:r>
          </w:p>
        </w:tc>
      </w:tr>
      <w:tr w:rsidR="002C627B" w14:paraId="47BD0E1A" w14:textId="77777777" w:rsidTr="002C627B">
        <w:tc>
          <w:tcPr>
            <w:tcW w:w="2410" w:type="dxa"/>
            <w:vMerge/>
          </w:tcPr>
          <w:p w14:paraId="49083BF9" w14:textId="77777777" w:rsidR="002C627B" w:rsidRPr="000A159A" w:rsidRDefault="002C627B" w:rsidP="002B68B5">
            <w:pPr>
              <w:pStyle w:val="ConsPlusNonformat"/>
              <w:widowControl w:val="0"/>
              <w:ind w:right="-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F199D2" w14:textId="77777777" w:rsidR="002C627B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просим разъяснить, где в предложении участника (наименование документа, номер страницы, пункта и т.д.) содержится </w:t>
            </w:r>
            <w:proofErr w:type="gramStart"/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информация  от</w:t>
            </w:r>
            <w:proofErr w:type="gramEnd"/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изготовителя (производителя) о том, что предлагаемые датчики для измерения температуры являются </w:t>
            </w:r>
            <w:proofErr w:type="spellStart"/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являются</w:t>
            </w:r>
            <w:proofErr w:type="spellEnd"/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накожными/ректальными/пищеводными (п. 3.5, 3.6 Приложения 1 Технические характеристики).</w:t>
            </w:r>
          </w:p>
        </w:tc>
        <w:tc>
          <w:tcPr>
            <w:tcW w:w="4253" w:type="dxa"/>
          </w:tcPr>
          <w:p w14:paraId="5EA6E960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В представленной документации, а именно в Руководстве по эксплуатации (РЭ), отсутствует детализация типа датчиков температуры (накожные/ректальные/пищеводные). В разделе 14.3 «Измерение» на странице 76 указано: «Выберите подходящий датчик температуры в соответствии с особенностями пациента и потребностями мониторинга».</w:t>
            </w:r>
          </w:p>
          <w:p w14:paraId="4453EAC8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Отсутствие в документации производителя жесткой привязки к конкретному типу датчика обусловлено необходимостью адаптации к различным рынкам сбыта и клиническим сценариям применения (поверхностное, ректальное, пищеводное зондирование).</w:t>
            </w:r>
          </w:p>
          <w:p w14:paraId="6262CB81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В связи с изложенным, конкретный тип поставляемых датчиков указан в нашем Листе технической комплектации (позиции № 6, 7, 8), где четко определены необходимые к поставке датчики:</w:t>
            </w:r>
          </w:p>
          <w:p w14:paraId="0325ED55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Датчик для измерения температуры (многоразовый наружный) — 2 шт.;</w:t>
            </w:r>
          </w:p>
          <w:p w14:paraId="610E84B5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Датчик для измерения температуры (многоразовый внутриполостной </w:t>
            </w:r>
            <w:proofErr w:type="spellStart"/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эзофагеальный</w:t>
            </w:r>
            <w:proofErr w:type="spellEnd"/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) — 1 шт.;</w:t>
            </w:r>
          </w:p>
          <w:p w14:paraId="050601C1" w14:textId="77777777" w:rsidR="002C627B" w:rsidRPr="000A159A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Датчик для измерения температуры (многоразовый внутриполостной ректальный) — 1 шт.</w:t>
            </w:r>
          </w:p>
          <w:p w14:paraId="527E061B" w14:textId="77777777" w:rsidR="002C627B" w:rsidRDefault="002C627B" w:rsidP="002B68B5">
            <w:pPr>
              <w:pStyle w:val="ConsPlusNonformat"/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A159A">
              <w:rPr>
                <w:rFonts w:ascii="Times New Roman" w:eastAsiaTheme="minorHAnsi" w:hAnsi="Times New Roman" w:cs="Times New Roman"/>
                <w:sz w:val="24"/>
                <w:szCs w:val="24"/>
              </w:rPr>
              <w:t>Таким образом, предложение участника полностью соответствует требованиям п. 3.5 и 3.6 Приложения 1.</w:t>
            </w:r>
          </w:p>
        </w:tc>
      </w:tr>
    </w:tbl>
    <w:p w14:paraId="5A7840B5" w14:textId="77777777" w:rsidR="000A159A" w:rsidRPr="00BE3C4A" w:rsidRDefault="000A159A" w:rsidP="000A159A">
      <w:pPr>
        <w:pStyle w:val="ConsPlusNonformat"/>
        <w:widowControl w:val="0"/>
        <w:ind w:left="709" w:right="284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6E00D690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10E1E039" w14:textId="21A1DB3B" w:rsidR="000B64A1" w:rsidRPr="00343A2A" w:rsidRDefault="00925047" w:rsidP="000B64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159A">
        <w:rPr>
          <w:rFonts w:ascii="Times New Roman" w:hAnsi="Times New Roman" w:cs="Times New Roman"/>
          <w:color w:val="000000"/>
          <w:sz w:val="24"/>
          <w:szCs w:val="24"/>
        </w:rPr>
        <w:t>Многофункциональный гемодинамический монитор пациента с базовыми функциями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984E62" w:rsidRPr="00BE3C4A" w14:paraId="37969B22" w14:textId="77777777" w:rsidTr="00C753EE">
        <w:trPr>
          <w:trHeight w:val="60"/>
        </w:trPr>
        <w:tc>
          <w:tcPr>
            <w:tcW w:w="2552" w:type="dxa"/>
            <w:shd w:val="clear" w:color="auto" w:fill="auto"/>
          </w:tcPr>
          <w:p w14:paraId="648DD0F3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2F95F59C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26FC3AC3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3567238E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50CBDAD2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84E62" w:rsidRPr="00BE3C4A" w14:paraId="15E8664A" w14:textId="77777777" w:rsidTr="00C753EE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7CA2FF5" w14:textId="1F77B279" w:rsidR="00984E62" w:rsidRPr="00CA0A91" w:rsidRDefault="00925047" w:rsidP="000B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47">
              <w:rPr>
                <w:rFonts w:ascii="Times New Roman" w:hAnsi="Times New Roman" w:cs="Times New Roman"/>
                <w:sz w:val="24"/>
                <w:szCs w:val="24"/>
              </w:rPr>
              <w:t>O20260707426234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CCBFFB" w14:textId="4D10175C" w:rsidR="00984E62" w:rsidRPr="00CA0A91" w:rsidRDefault="00984E62" w:rsidP="00984E62">
            <w:pPr>
              <w:pStyle w:val="af0"/>
              <w:widowControl w:val="0"/>
              <w:spacing w:line="240" w:lineRule="auto"/>
              <w:ind w:right="30"/>
              <w:jc w:val="center"/>
              <w:rPr>
                <w:rFonts w:eastAsiaTheme="minorHAnsi"/>
                <w:i w:val="0"/>
                <w:sz w:val="24"/>
                <w:szCs w:val="24"/>
                <w:lang w:val="ru-RU" w:eastAsia="en-US"/>
              </w:rPr>
            </w:pPr>
            <w:r w:rsidRPr="00CA0A91">
              <w:rPr>
                <w:rFonts w:eastAsiaTheme="minorHAnsi"/>
                <w:i w:val="0"/>
                <w:sz w:val="24"/>
                <w:szCs w:val="24"/>
                <w:lang w:val="ru-RU" w:eastAsia="en-US"/>
              </w:rPr>
              <w:t>Допуск</w:t>
            </w:r>
          </w:p>
        </w:tc>
        <w:tc>
          <w:tcPr>
            <w:tcW w:w="2977" w:type="dxa"/>
          </w:tcPr>
          <w:p w14:paraId="6FEDEEA0" w14:textId="62A05512" w:rsidR="00984E62" w:rsidRPr="00BE3C4A" w:rsidRDefault="00984E62" w:rsidP="00E57EED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E0348A" w:rsidRPr="00BE3C4A" w14:paraId="263B74AE" w14:textId="77777777" w:rsidTr="000B64A1">
        <w:trPr>
          <w:trHeight w:val="70"/>
        </w:trPr>
        <w:tc>
          <w:tcPr>
            <w:tcW w:w="2552" w:type="dxa"/>
            <w:shd w:val="clear" w:color="auto" w:fill="auto"/>
            <w:vAlign w:val="center"/>
          </w:tcPr>
          <w:p w14:paraId="0FA8E998" w14:textId="12B14AFD" w:rsidR="00E0348A" w:rsidRPr="00BE3C4A" w:rsidRDefault="00E0348A" w:rsidP="00E03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47">
              <w:rPr>
                <w:rFonts w:ascii="Times New Roman" w:hAnsi="Times New Roman" w:cs="Times New Roman"/>
                <w:sz w:val="24"/>
                <w:szCs w:val="24"/>
              </w:rPr>
              <w:t>O20260713426939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EF2FD2" w14:textId="77777777" w:rsidR="00E0348A" w:rsidRPr="0060510C" w:rsidRDefault="00E0348A" w:rsidP="00E0348A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7B0A5E4E" w14:textId="77777777" w:rsidR="00E0348A" w:rsidRPr="0060510C" w:rsidRDefault="00E0348A" w:rsidP="00E0348A">
            <w:pPr>
              <w:pStyle w:val="af0"/>
              <w:widowControl w:val="0"/>
              <w:spacing w:line="240" w:lineRule="auto"/>
              <w:ind w:right="30"/>
              <w:jc w:val="both"/>
              <w:rPr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Предложение отклонено на основании </w:t>
            </w:r>
            <w:r w:rsidRPr="0060510C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23B00F5" w14:textId="0FB31E13" w:rsidR="00E0348A" w:rsidRDefault="00E0348A" w:rsidP="00E0348A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- не соответствует </w:t>
            </w:r>
            <w:proofErr w:type="spellStart"/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пп</w:t>
            </w:r>
            <w:proofErr w:type="spellEnd"/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. 2.3 п.2 Приложения 8 к аукционным документам: </w:t>
            </w:r>
            <w:r w:rsidRPr="00E0348A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- 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</w:p>
          <w:p w14:paraId="4CA06F46" w14:textId="1C298FA0" w:rsidR="00E0348A" w:rsidRDefault="00E0348A" w:rsidP="00E0348A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не соответствует п. </w:t>
            </w:r>
            <w:r w:rsidR="00C20148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.2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lastRenderedPageBreak/>
              <w:t xml:space="preserve">Приложения 1 «Технические характеристики»: </w:t>
            </w:r>
            <w:r w:rsidR="00C20148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отсутствует информация от производителя о том, что предлагаемые электроды клеящиеся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;</w:t>
            </w:r>
          </w:p>
          <w:p w14:paraId="696C76AB" w14:textId="23EAC194" w:rsidR="00C20148" w:rsidRDefault="00C20148" w:rsidP="00C20148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не соответствует п.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3.3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отсутствует информация от производителя о размерах предлагаемых манжет;</w:t>
            </w:r>
          </w:p>
          <w:p w14:paraId="00110D3B" w14:textId="0A82C5B8" w:rsidR="00C20148" w:rsidRDefault="00C20148" w:rsidP="00C20148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не соответствует п.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3.5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отсутствует информация от производителя о том, что предлагаемый датчик температуры накожный;</w:t>
            </w:r>
          </w:p>
          <w:p w14:paraId="5E163559" w14:textId="03FCAB2A" w:rsidR="00E0348A" w:rsidRPr="00C20148" w:rsidRDefault="00C20148" w:rsidP="00C20148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не соответствует п.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3.6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отсутствует информация от производителя о том, что предлагаемый датчик температуры ректальный/пищеводный</w:t>
            </w:r>
            <w:r w:rsidR="00E0348A" w:rsidRPr="00C20148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7E56409" w14:textId="0D3855B7" w:rsidR="00E0348A" w:rsidRPr="00BE3C4A" w:rsidRDefault="00751455" w:rsidP="00E0348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bookmarkStart w:id="0" w:name="_GoBack"/>
            <w:bookmarkEnd w:id="0"/>
          </w:p>
        </w:tc>
      </w:tr>
    </w:tbl>
    <w:p w14:paraId="3A84ED41" w14:textId="749E1F23" w:rsidR="00984E62" w:rsidRPr="00925047" w:rsidRDefault="00984E62" w:rsidP="00984E62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925047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14:paraId="2E4D4321" w14:textId="77777777" w:rsidR="00984E62" w:rsidRPr="00343A2A" w:rsidRDefault="00984E62" w:rsidP="006C5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40126" w14:textId="409901C1" w:rsidR="00492178" w:rsidRDefault="006C5ABD" w:rsidP="00C20148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C20148">
        <w:rPr>
          <w:rFonts w:ascii="Times New Roman" w:hAnsi="Times New Roman" w:cs="Times New Roman"/>
          <w:sz w:val="24"/>
          <w:szCs w:val="24"/>
        </w:rPr>
        <w:t xml:space="preserve">2.2. </w:t>
      </w:r>
      <w:r w:rsidR="00C20148" w:rsidRPr="00C20148">
        <w:rPr>
          <w:rFonts w:ascii="Times New Roman" w:hAnsi="Times New Roman" w:cs="Times New Roman"/>
          <w:sz w:val="24"/>
          <w:szCs w:val="24"/>
        </w:rPr>
        <w:t>Признать</w:t>
      </w:r>
      <w:r w:rsidR="00C20148">
        <w:rPr>
          <w:rFonts w:ascii="Times New Roman" w:hAnsi="Times New Roman" w:cs="Times New Roman"/>
          <w:sz w:val="24"/>
          <w:szCs w:val="24"/>
        </w:rPr>
        <w:t xml:space="preserve"> электронный аукцион несостоявшимся на основании того, что в</w:t>
      </w:r>
      <w:r w:rsidR="00C20148" w:rsidRPr="00ED0FBF">
        <w:rPr>
          <w:rFonts w:ascii="Times New Roman" w:hAnsi="Times New Roman" w:cs="Times New Roman"/>
          <w:sz w:val="24"/>
          <w:szCs w:val="24"/>
        </w:rPr>
        <w:t xml:space="preserve"> результате рассмотрения и отклонения предложений по лот</w:t>
      </w:r>
      <w:r w:rsidR="00C20148">
        <w:rPr>
          <w:rFonts w:ascii="Times New Roman" w:hAnsi="Times New Roman" w:cs="Times New Roman"/>
          <w:sz w:val="24"/>
          <w:szCs w:val="24"/>
        </w:rPr>
        <w:t>у</w:t>
      </w:r>
      <w:r w:rsidR="00C20148" w:rsidRPr="00ED0FBF">
        <w:rPr>
          <w:rFonts w:ascii="Times New Roman" w:hAnsi="Times New Roman" w:cs="Times New Roman"/>
          <w:sz w:val="24"/>
          <w:szCs w:val="24"/>
        </w:rPr>
        <w:t xml:space="preserve"> № </w:t>
      </w:r>
      <w:r w:rsidR="00C20148">
        <w:rPr>
          <w:rFonts w:ascii="Times New Roman" w:hAnsi="Times New Roman" w:cs="Times New Roman"/>
          <w:sz w:val="24"/>
          <w:szCs w:val="24"/>
        </w:rPr>
        <w:t>1</w:t>
      </w:r>
      <w:r w:rsidR="00C20148" w:rsidRPr="00ED0FBF">
        <w:rPr>
          <w:rFonts w:ascii="Times New Roman" w:hAnsi="Times New Roman" w:cs="Times New Roman"/>
          <w:sz w:val="24"/>
          <w:szCs w:val="24"/>
        </w:rPr>
        <w:t xml:space="preserve"> осталось </w:t>
      </w:r>
      <w:r w:rsidR="00C20148">
        <w:rPr>
          <w:rFonts w:ascii="Times New Roman" w:hAnsi="Times New Roman" w:cs="Times New Roman"/>
          <w:sz w:val="24"/>
          <w:szCs w:val="24"/>
        </w:rPr>
        <w:t>только одно предложение</w:t>
      </w:r>
      <w:r w:rsidR="00C20148" w:rsidRPr="00ED0FBF">
        <w:rPr>
          <w:rFonts w:ascii="Times New Roman" w:hAnsi="Times New Roman" w:cs="Times New Roman"/>
          <w:sz w:val="24"/>
          <w:szCs w:val="24"/>
        </w:rPr>
        <w:t>.</w:t>
      </w:r>
    </w:p>
    <w:p w14:paraId="421ECD91" w14:textId="77777777" w:rsidR="00B959C3" w:rsidRPr="00E90DBC" w:rsidRDefault="00B959C3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5D1707" w14:textId="6A2165F6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3B017528" w:rsidR="00AB78E0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1F85E64" w14:textId="77777777" w:rsidR="002D4F42" w:rsidRPr="00E90DBC" w:rsidRDefault="002D4F42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6F1337" w:rsidRPr="00ED0FBF" w14:paraId="190572E2" w14:textId="77777777" w:rsidTr="00F72A08">
        <w:trPr>
          <w:trHeight w:val="60"/>
        </w:trPr>
        <w:tc>
          <w:tcPr>
            <w:tcW w:w="4395" w:type="dxa"/>
          </w:tcPr>
          <w:p w14:paraId="0D603CB3" w14:textId="2B2AF92D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598C" w14:textId="77777777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8492461" w14:textId="1AB27087" w:rsidR="006F1337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32030F1E" w:rsidR="00BE3C4A" w:rsidRPr="00925047" w:rsidRDefault="0092504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Асиевская</w:t>
            </w:r>
            <w:proofErr w:type="spellEnd"/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58A501E3" w:rsidR="00BE3C4A" w:rsidRPr="00ED0FBF" w:rsidRDefault="0092504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493380">
      <w:pgSz w:w="12240" w:h="15840"/>
      <w:pgMar w:top="1276" w:right="1041" w:bottom="1276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A83E6" w14:textId="77777777" w:rsidR="00AC5A06" w:rsidRDefault="00AC5A06" w:rsidP="00310C8C">
      <w:pPr>
        <w:spacing w:after="0" w:line="240" w:lineRule="auto"/>
      </w:pPr>
      <w:r>
        <w:separator/>
      </w:r>
    </w:p>
  </w:endnote>
  <w:endnote w:type="continuationSeparator" w:id="0">
    <w:p w14:paraId="0D4B7571" w14:textId="77777777" w:rsidR="00AC5A06" w:rsidRDefault="00AC5A06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477D4" w14:textId="77777777" w:rsidR="00AC5A06" w:rsidRDefault="00AC5A06" w:rsidP="00310C8C">
      <w:pPr>
        <w:spacing w:after="0" w:line="240" w:lineRule="auto"/>
      </w:pPr>
      <w:r>
        <w:separator/>
      </w:r>
    </w:p>
  </w:footnote>
  <w:footnote w:type="continuationSeparator" w:id="0">
    <w:p w14:paraId="23CB4472" w14:textId="77777777" w:rsidR="00AC5A06" w:rsidRDefault="00AC5A06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23C93"/>
    <w:multiLevelType w:val="hybridMultilevel"/>
    <w:tmpl w:val="02804E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7"/>
  </w:num>
  <w:num w:numId="6">
    <w:abstractNumId w:val="13"/>
  </w:num>
  <w:num w:numId="7">
    <w:abstractNumId w:val="4"/>
  </w:num>
  <w:num w:numId="8">
    <w:abstractNumId w:val="9"/>
  </w:num>
  <w:num w:numId="9">
    <w:abstractNumId w:val="14"/>
  </w:num>
  <w:num w:numId="10">
    <w:abstractNumId w:val="11"/>
  </w:num>
  <w:num w:numId="11">
    <w:abstractNumId w:val="17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8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1828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59A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4A1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6F2F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4B25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C627B"/>
    <w:rsid w:val="002D0000"/>
    <w:rsid w:val="002D0578"/>
    <w:rsid w:val="002D0AC1"/>
    <w:rsid w:val="002D0ADE"/>
    <w:rsid w:val="002D188B"/>
    <w:rsid w:val="002D4A58"/>
    <w:rsid w:val="002D4E4D"/>
    <w:rsid w:val="002D4F42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3A2A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3E7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D08"/>
    <w:rsid w:val="00425E56"/>
    <w:rsid w:val="00426296"/>
    <w:rsid w:val="00426764"/>
    <w:rsid w:val="00426A0C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2F20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74B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3380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3E17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1775F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10C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91B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595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337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BC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455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67AB1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158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5EF4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A8C"/>
    <w:rsid w:val="00916D0C"/>
    <w:rsid w:val="00917A15"/>
    <w:rsid w:val="00917E91"/>
    <w:rsid w:val="0092004A"/>
    <w:rsid w:val="0092033C"/>
    <w:rsid w:val="009213B6"/>
    <w:rsid w:val="0092173D"/>
    <w:rsid w:val="00923D8E"/>
    <w:rsid w:val="00925047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62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2DD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B9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5A0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1FB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140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9C3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148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347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3EE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3CFB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0A91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17A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48A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0DBC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1F4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64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D3DF9-4236-4B34-9C8E-8AAD32D2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8906</TotalTime>
  <Pages>1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Попович</cp:lastModifiedBy>
  <cp:revision>987</cp:revision>
  <cp:lastPrinted>2026-08-19T11:59:00Z</cp:lastPrinted>
  <dcterms:created xsi:type="dcterms:W3CDTF">2019-09-11T14:02:00Z</dcterms:created>
  <dcterms:modified xsi:type="dcterms:W3CDTF">2026-08-19T12:01:00Z</dcterms:modified>
</cp:coreProperties>
</file>