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099" w:rsidRDefault="00A442EC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ПОКУПКУ 26/31 Иммунобиологические лекарственные средства (лот 26)</w:t>
      </w:r>
    </w:p>
    <w:p w:rsidR="00F35099" w:rsidRDefault="00C3705E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04A58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bookmarkStart w:id="0" w:name="_GoBack"/>
      <w:bookmarkEnd w:id="0"/>
      <w:r w:rsidR="006168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A442EC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F35099" w:rsidRDefault="00F35099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0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5"/>
        <w:gridCol w:w="7650"/>
      </w:tblGrid>
      <w:tr w:rsidR="00F35099">
        <w:tc>
          <w:tcPr>
            <w:tcW w:w="9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П.7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F35099">
        <w:tc>
          <w:tcPr>
            <w:tcW w:w="90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 2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 2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 2</w:t>
            </w:r>
          </w:p>
        </w:tc>
      </w:tr>
      <w:tr w:rsidR="00F35099">
        <w:tc>
          <w:tcPr>
            <w:tcW w:w="90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F35099">
        <w:tc>
          <w:tcPr>
            <w:tcW w:w="90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F35099">
        <w:tc>
          <w:tcPr>
            <w:tcW w:w="90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7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lastRenderedPageBreak/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покупку.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C3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21.08</w:t>
            </w:r>
            <w:r w:rsidR="00A442EC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C3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19.08</w:t>
            </w:r>
            <w:r w:rsidR="00A179CD">
              <w:rPr>
                <w:rFonts w:ascii="Times New Roman" w:eastAsia="Times New Roman" w:hAnsi="Times New Roman" w:cs="Times New Roman"/>
                <w:lang w:eastAsia="ru-RU"/>
              </w:rPr>
              <w:t>.2026 до 11</w:t>
            </w:r>
            <w:r w:rsidR="00A442EC">
              <w:rPr>
                <w:rFonts w:ascii="Times New Roman" w:eastAsia="Times New Roman" w:hAnsi="Times New Roman" w:cs="Times New Roman"/>
                <w:lang w:eastAsia="ru-RU"/>
              </w:rPr>
              <w:t>.00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C3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20.08</w:t>
            </w:r>
            <w:r w:rsidR="00A442EC">
              <w:rPr>
                <w:rFonts w:ascii="Times New Roman" w:eastAsia="Times New Roman" w:hAnsi="Times New Roman" w:cs="Times New Roman"/>
                <w:lang w:eastAsia="ru-RU"/>
              </w:rPr>
              <w:t>.2026 до 17.00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Лекарственные препараты должны соответствовать следующим требованиям.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ОБЩИЕ ТРЕБОВАНИЯ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применяются для профилактики, лечения и диагностики инфекционных заболеваний у детей и взрослых, в том числе в соответствии со сроками проведения профилактических прививок и возможностью одновременного введения с лекарственными препаратами, определенными Национальным календарем профилактических прививок, перечнем профилактических прививок по эпидемическим показаниям.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Перечень иммунобиологических лекарственных препаратов с установленной формой выпуска к закупке на 2026 год по каждой позиции указан в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Приложении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ДОПОЛНИТЕЛЬНЫЕ УСЛОВИЯ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поставляются и хранятся при соблюдении условий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цепи», установленных производителем к конкретным препаратам.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 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Контейнеры, в которых поставляются 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(Туберкулин), должны быть оборудованы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терморегистраторами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позволяющими контролировать температуру в контейнере и проводить оценку её соблюдения в течение всего периода транспортировки.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3.Остаточный срок годности лекарственных средств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на дату поставки должен быть: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3.3.1. не менее 50% от установленного производителем на дату поставки, при сроке годности два года и более;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3.3.2. не менее 70% от установленного производителем на дату поставки, при сроке годности менее двух лет;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3.3.3. менее 50%, но не менее 30% от установленного производителем на дату поставки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 объем, не превышающий квартальную потребность, по сниженной цене, при сроке годности два года и более;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3.3.4. менее 70%, но не менее 50% от установленного производителем на дату поставки на объем, не превышающий квартальную потребность, по сниженной цене, при сроке годности менее двух лет.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 ПРОВЕДЕНИЯ ЗАКУПКИ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4.1.Для присуждения контрактов на закупку лекарственных средств, по разделам плана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06 «Иммунные сыворотки и иммуноглобулины»,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07 «Вакцины»,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01 «Аллергены» (Аллерген туберкулезный рекомбинантный),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«Диагностические препараты» (Туберкулин) будут использоваться следующие критерии: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предложений требованиям заявки на закупку;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возможность поставки в соответствии с графиком поставок; 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наименьшая цена.</w:t>
            </w:r>
          </w:p>
          <w:p w:rsidR="00F35099" w:rsidRDefault="00F3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1 </w:t>
            </w:r>
          </w:p>
          <w:p w:rsidR="00F35099" w:rsidRDefault="00A442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иммунобиологических лекарственных препаратов с установленной формой выпуска</w:t>
            </w:r>
          </w:p>
          <w:p w:rsidR="00F35099" w:rsidRDefault="00A442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проведения процедур централизованных государственных закупок на 2026 г.</w:t>
            </w:r>
          </w:p>
          <w:tbl>
            <w:tblPr>
              <w:tblW w:w="77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6"/>
              <w:gridCol w:w="1465"/>
              <w:gridCol w:w="1931"/>
              <w:gridCol w:w="1392"/>
              <w:gridCol w:w="1329"/>
              <w:gridCol w:w="1114"/>
            </w:tblGrid>
            <w:tr w:rsidR="00F35099">
              <w:trPr>
                <w:trHeight w:val="481"/>
              </w:trPr>
              <w:tc>
                <w:tcPr>
                  <w:tcW w:w="465" w:type="dxa"/>
                  <w:vMerge w:val="restart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№</w:t>
                  </w:r>
                </w:p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1367" w:type="dxa"/>
                  <w:vMerge w:val="restart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1797" w:type="dxa"/>
                  <w:vMerge w:val="restart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Форма выпуска</w:t>
                  </w:r>
                </w:p>
              </w:tc>
              <w:tc>
                <w:tcPr>
                  <w:tcW w:w="1433" w:type="dxa"/>
                  <w:vMerge w:val="restart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Обоснование (дополнение) формы выпуска</w:t>
                  </w:r>
                </w:p>
              </w:tc>
              <w:tc>
                <w:tcPr>
                  <w:tcW w:w="1525" w:type="dxa"/>
                  <w:vMerge w:val="restart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Целевые группы, которым показано введение ИЛП</w:t>
                  </w:r>
                </w:p>
              </w:tc>
              <w:tc>
                <w:tcPr>
                  <w:tcW w:w="1130" w:type="dxa"/>
                  <w:vMerge w:val="restart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Кратность введения ИЛП целевым группам</w:t>
                  </w:r>
                </w:p>
              </w:tc>
            </w:tr>
            <w:tr w:rsidR="00F35099">
              <w:trPr>
                <w:trHeight w:val="481"/>
              </w:trPr>
              <w:tc>
                <w:tcPr>
                  <w:tcW w:w="465" w:type="dxa"/>
                  <w:vMerge/>
                  <w:shd w:val="clear" w:color="auto" w:fill="auto"/>
                  <w:vAlign w:val="center"/>
                </w:tcPr>
                <w:p w:rsidR="00F35099" w:rsidRDefault="00F35099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67" w:type="dxa"/>
                  <w:vMerge/>
                  <w:shd w:val="clear" w:color="auto" w:fill="auto"/>
                  <w:vAlign w:val="center"/>
                </w:tcPr>
                <w:p w:rsidR="00F35099" w:rsidRDefault="00F35099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97" w:type="dxa"/>
                  <w:vMerge/>
                  <w:shd w:val="clear" w:color="auto" w:fill="auto"/>
                  <w:vAlign w:val="center"/>
                </w:tcPr>
                <w:p w:rsidR="00F35099" w:rsidRDefault="00F35099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3" w:type="dxa"/>
                  <w:vMerge/>
                  <w:shd w:val="clear" w:color="auto" w:fill="auto"/>
                </w:tcPr>
                <w:p w:rsidR="00F35099" w:rsidRDefault="00F35099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25" w:type="dxa"/>
                  <w:vMerge/>
                  <w:shd w:val="clear" w:color="auto" w:fill="auto"/>
                </w:tcPr>
                <w:p w:rsidR="00F35099" w:rsidRDefault="00F35099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0" w:type="dxa"/>
                  <w:vMerge/>
                  <w:shd w:val="clear" w:color="auto" w:fill="auto"/>
                </w:tcPr>
                <w:p w:rsidR="00F35099" w:rsidRDefault="00F35099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35099">
              <w:tc>
                <w:tcPr>
                  <w:tcW w:w="465" w:type="dxa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367" w:type="dxa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Вакцина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туляремийная</w:t>
                  </w:r>
                  <w:proofErr w:type="spellEnd"/>
                </w:p>
              </w:tc>
              <w:tc>
                <w:tcPr>
                  <w:tcW w:w="1797" w:type="dxa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лиофилизат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для приготовления суспензии для внутрикожного введения и накожного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скарификационного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нанесения 15-50 доз в ампуле (доз)</w:t>
                  </w:r>
                </w:p>
              </w:tc>
              <w:tc>
                <w:tcPr>
                  <w:tcW w:w="1433" w:type="dxa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525" w:type="dxa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Дети и взрослые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vertAlign w:val="superscript"/>
                    </w:rPr>
                    <w:t>1,2</w:t>
                  </w:r>
                </w:p>
              </w:tc>
              <w:tc>
                <w:tcPr>
                  <w:tcW w:w="1130" w:type="dxa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По одной дозе от одного до двух раз</w:t>
                  </w:r>
                </w:p>
              </w:tc>
            </w:tr>
          </w:tbl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Примечание: 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– Постановление Министерства здравоохранения Республики Беларусь от 17.05.2018 № 42 «О профилактических прививках» (с изменениями в редакции постановления Министерства здравоохранения Республики Беларусь от 13.01.2025 № 3).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– Приказ Министерства здравоохранения Республики Беларусь от 27.02.2014 № 191 «Об утверждении Инструкции по тактике проведения профилактических прививок среди населения в Республике Беларусь».</w:t>
            </w:r>
          </w:p>
          <w:p w:rsidR="00F35099" w:rsidRDefault="00F3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F35099" w:rsidRDefault="00F35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валюты, в которой должна быть выражена цена предложения, наименование валюты и при необходимости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обменный курс, которые будут использованы для заключения договора.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предмета закупки на основании предложения поставщика может быть пересчитана в RUB, USD, EUR, CNY по курсу Национального банка Республики Беларусь на конечную дату предоставления документов и (или)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сведений поставщиками. 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 этом рекомендованная валюта платежа для резидентов Российской Федерации – RUB, для иных нерезидентов РБ (кроме резидентов РФ) – EUR. 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валюта цены отличается от валюты платежа, то обмен валюты цены на валюту платежа производится с использованием валютно-обменного курса, установленного банком Покупателя на дату проведения платежа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F35099" w:rsidRDefault="00F35099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>
              <w:rPr>
                <w:rFonts w:ascii="Times New Roman" w:hAnsi="Times New Roman" w:cs="Times New Roman"/>
              </w:rPr>
              <w:lastRenderedPageBreak/>
              <w:t xml:space="preserve">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F35099" w:rsidRDefault="00F35099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Соответствие требованиям пункта 2.1. подтверждается путем предоставления следующих документов:</w:t>
            </w:r>
          </w:p>
          <w:p w:rsidR="00F35099" w:rsidRDefault="00A442EC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F35099" w:rsidRDefault="00A442EC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F35099" w:rsidRDefault="00A442EC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lastRenderedPageBreak/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F35099" w:rsidRDefault="00A442EC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F35099" w:rsidRDefault="00F35099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F35099" w:rsidRDefault="00A442E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F35099" w:rsidRDefault="00A442EC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</w:t>
            </w:r>
            <w:r>
              <w:rPr>
                <w:rStyle w:val="word-wrapper"/>
                <w:sz w:val="22"/>
                <w:szCs w:val="22"/>
              </w:rPr>
              <w:lastRenderedPageBreak/>
              <w:t xml:space="preserve">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>
              <w:rPr>
                <w:rStyle w:val="fake-non-breaking-space"/>
                <w:sz w:val="22"/>
                <w:szCs w:val="22"/>
              </w:rPr>
              <w:t> </w:t>
            </w:r>
            <w:r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F35099" w:rsidRDefault="00F35099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F35099"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F35099"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F35099"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F35099" w:rsidRDefault="00F3509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099" w:rsidRDefault="00F3509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8D2" w:rsidRPr="001428D2" w:rsidRDefault="001428D2" w:rsidP="002F1CB6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8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</w:t>
      </w:r>
      <w:r w:rsidR="00C37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ститель генерального директора                                </w:t>
      </w:r>
      <w:proofErr w:type="spellStart"/>
      <w:r w:rsidR="00C3705E">
        <w:rPr>
          <w:rFonts w:ascii="Times New Roman" w:eastAsia="Times New Roman" w:hAnsi="Times New Roman" w:cs="Times New Roman"/>
          <w:sz w:val="28"/>
          <w:szCs w:val="28"/>
          <w:lang w:eastAsia="ru-RU"/>
        </w:rPr>
        <w:t>Е.Н.Гончарова</w:t>
      </w:r>
      <w:proofErr w:type="spellEnd"/>
    </w:p>
    <w:p w:rsidR="00F35099" w:rsidRDefault="00F35099" w:rsidP="00C3705E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8D2" w:rsidRDefault="001428D2" w:rsidP="001428D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099" w:rsidRDefault="00A442EC" w:rsidP="002F1CB6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F35099" w:rsidRDefault="00A442EC" w:rsidP="002F1CB6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F35099" w:rsidRDefault="00A442EC" w:rsidP="002F1CB6">
      <w:pPr>
        <w:tabs>
          <w:tab w:val="left" w:pos="426"/>
          <w:tab w:val="left" w:pos="6804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закупок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</w:t>
      </w:r>
    </w:p>
    <w:p w:rsidR="002F1CB6" w:rsidRDefault="002F1CB6" w:rsidP="002F1CB6">
      <w:pPr>
        <w:tabs>
          <w:tab w:val="left" w:pos="426"/>
          <w:tab w:val="left" w:pos="6804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05E" w:rsidRDefault="00C3705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5099" w:rsidRDefault="00A442E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F35099" w:rsidRDefault="00F350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5099" w:rsidRDefault="00A442EC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F35099" w:rsidRDefault="00A442EC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F35099" w:rsidRDefault="00F35099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F35099" w:rsidRDefault="00A442EC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F35099" w:rsidRDefault="00F35099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F35099" w:rsidRDefault="00A442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35099" w:rsidRDefault="00A442E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F35099" w:rsidRDefault="00F35099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F35099" w:rsidRDefault="00F35099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F35099" w:rsidRDefault="00F35099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F35099" w:rsidRDefault="00A442E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F35099" w:rsidRDefault="00F35099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35099">
        <w:tc>
          <w:tcPr>
            <w:tcW w:w="4672" w:type="dxa"/>
          </w:tcPr>
          <w:p w:rsidR="00F35099" w:rsidRDefault="00A442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участника</w:t>
            </w:r>
          </w:p>
        </w:tc>
        <w:tc>
          <w:tcPr>
            <w:tcW w:w="4673" w:type="dxa"/>
          </w:tcPr>
          <w:p w:rsidR="00F35099" w:rsidRDefault="00F350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5099">
        <w:tc>
          <w:tcPr>
            <w:tcW w:w="4672" w:type="dxa"/>
          </w:tcPr>
          <w:p w:rsidR="00F35099" w:rsidRDefault="00A442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</w:tcPr>
          <w:p w:rsidR="00F35099" w:rsidRDefault="00F350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5099">
        <w:tc>
          <w:tcPr>
            <w:tcW w:w="4672" w:type="dxa"/>
          </w:tcPr>
          <w:p w:rsidR="00F35099" w:rsidRDefault="00A442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</w:tcPr>
          <w:p w:rsidR="00F35099" w:rsidRDefault="00F350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5099">
        <w:tc>
          <w:tcPr>
            <w:tcW w:w="4672" w:type="dxa"/>
          </w:tcPr>
          <w:p w:rsidR="00F35099" w:rsidRDefault="00A442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Юридический, почтовый адрес</w:t>
            </w:r>
          </w:p>
          <w:p w:rsidR="00F35099" w:rsidRDefault="00A442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Банковские реквизиты</w:t>
            </w:r>
          </w:p>
        </w:tc>
        <w:tc>
          <w:tcPr>
            <w:tcW w:w="4673" w:type="dxa"/>
          </w:tcPr>
          <w:p w:rsidR="00F35099" w:rsidRDefault="00F350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35099" w:rsidRDefault="00F3509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5099" w:rsidRDefault="00F35099"/>
    <w:p w:rsidR="00F35099" w:rsidRDefault="00F3509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3509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99"/>
    <w:rsid w:val="001428D2"/>
    <w:rsid w:val="002F1CB6"/>
    <w:rsid w:val="006168FA"/>
    <w:rsid w:val="00A179CD"/>
    <w:rsid w:val="00A442EC"/>
    <w:rsid w:val="00B04A58"/>
    <w:rsid w:val="00C33E97"/>
    <w:rsid w:val="00C3705E"/>
    <w:rsid w:val="00DE0193"/>
    <w:rsid w:val="00F3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19119"/>
  <w15:docId w15:val="{07D8FE68-BF78-44E0-8713-16DB6F7D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</w:style>
  <w:style w:type="table" w:styleId="aa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7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B9797-3EA7-48C6-AD74-021C4CB9C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11</Pages>
  <Words>4274</Words>
  <Characters>24364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Зубковская</cp:lastModifiedBy>
  <cp:revision>42</cp:revision>
  <cp:lastPrinted>2026-08-17T09:28:00Z</cp:lastPrinted>
  <dcterms:created xsi:type="dcterms:W3CDTF">2025-08-27T19:48:00Z</dcterms:created>
  <dcterms:modified xsi:type="dcterms:W3CDTF">2026-08-18T06:33:00Z</dcterms:modified>
</cp:coreProperties>
</file>