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FC1764">
      <w:pPr>
        <w:ind w:firstLine="0"/>
        <w:jc w:val="center"/>
        <w:outlineLvl w:val="0"/>
        <w:rPr>
          <w:rFonts w:ascii="Times New Roman" w:hAnsi="Times New Roman" w:eastAsia="Times New Roman" w:cs="Times New Roman"/>
          <w:bCs/>
          <w:color w:val="auto"/>
          <w:kern w:val="36"/>
          <w:lang w:eastAsia="ru-RU"/>
        </w:rPr>
      </w:pPr>
      <w:r>
        <w:rPr>
          <w:rFonts w:ascii="Times New Roman" w:hAnsi="Times New Roman" w:eastAsia="Times New Roman" w:cs="Times New Roman"/>
          <w:bCs/>
          <w:color w:val="auto"/>
          <w:kern w:val="36"/>
          <w:lang w:eastAsia="ru-RU"/>
        </w:rPr>
        <w:t>ЗАПРОС</w:t>
      </w:r>
      <w:r>
        <w:rPr>
          <w:rFonts w:ascii="Times New Roman" w:hAnsi="Times New Roman" w:eastAsia="Times New Roman" w:cs="Times New Roman"/>
          <w:bCs/>
          <w:color w:val="auto"/>
          <w:kern w:val="36"/>
          <w:lang w:eastAsia="ru-RU"/>
        </w:rPr>
        <w:br w:type="textWrapping"/>
      </w:r>
      <w:r>
        <w:rPr>
          <w:rFonts w:ascii="Times New Roman" w:hAnsi="Times New Roman" w:eastAsia="Times New Roman" w:cs="Times New Roman"/>
          <w:bCs/>
          <w:color w:val="auto"/>
          <w:kern w:val="36"/>
          <w:lang w:eastAsia="ru-RU"/>
        </w:rPr>
        <w:t>о предоставлении сведений</w:t>
      </w:r>
    </w:p>
    <w:p w14:paraId="780628B0">
      <w:pPr>
        <w:ind w:firstLine="0"/>
        <w:jc w:val="center"/>
        <w:outlineLvl w:val="0"/>
        <w:rPr>
          <w:rFonts w:ascii="Times New Roman" w:hAnsi="Times New Roman" w:eastAsia="Times New Roman" w:cs="Times New Roman"/>
          <w:bCs/>
          <w:color w:val="auto"/>
          <w:kern w:val="36"/>
          <w:lang w:eastAsia="ru-RU"/>
        </w:rPr>
      </w:pPr>
    </w:p>
    <w:p w14:paraId="444571E1">
      <w:p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Государственное учреждение «Центр по обеспечению деятельности бюджетных организаций администрации Первомайского района г. Минска» в связи с необходимостью проведения закупки из одного источника на основании п. </w:t>
      </w:r>
      <w:r>
        <w:rPr>
          <w:rFonts w:hint="default" w:ascii="Times New Roman" w:hAnsi="Times New Roman" w:cs="Times New Roman"/>
          <w:color w:val="auto"/>
          <w:lang w:val="ru-RU"/>
        </w:rPr>
        <w:t>9</w:t>
      </w:r>
      <w:r>
        <w:rPr>
          <w:rFonts w:ascii="Times New Roman" w:hAnsi="Times New Roman" w:cs="Times New Roman"/>
          <w:color w:val="auto"/>
        </w:rPr>
        <w:t xml:space="preserve"> приложения к Закону Республики Беларусь от 13 июля 2012 г. № 419-З «О государственных закупках товаров (работ, услуг)», просит предоставить коммерческое (ценовое) предложение по следующим позициям:</w:t>
      </w:r>
    </w:p>
    <w:tbl>
      <w:tblPr>
        <w:tblStyle w:val="6"/>
        <w:tblpPr w:leftFromText="180" w:rightFromText="180" w:vertAnchor="text" w:horzAnchor="margin" w:tblpXSpec="center" w:tblpY="1"/>
        <w:tblW w:w="5000" w:type="pct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06"/>
        <w:gridCol w:w="5214"/>
      </w:tblGrid>
      <w:tr w14:paraId="567CFD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3" w:hRule="atLeast"/>
          <w:jc w:val="center"/>
        </w:trPr>
        <w:tc>
          <w:tcPr>
            <w:tcW w:w="24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C79CA21">
            <w:pPr>
              <w:spacing w:line="233" w:lineRule="auto"/>
              <w:ind w:firstLine="0"/>
              <w:jc w:val="left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Наименование заказчика,</w:t>
            </w:r>
          </w:p>
          <w:p w14:paraId="6F8E57CA">
            <w:pPr>
              <w:spacing w:line="233" w:lineRule="auto"/>
              <w:ind w:firstLine="0"/>
              <w:jc w:val="left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  <w:p w14:paraId="58F408F0">
            <w:pPr>
              <w:spacing w:line="233" w:lineRule="auto"/>
              <w:ind w:firstLine="0"/>
              <w:jc w:val="left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УНП заказчика</w:t>
            </w:r>
          </w:p>
        </w:tc>
        <w:tc>
          <w:tcPr>
            <w:tcW w:w="250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1D0FA6A">
            <w:pPr>
              <w:spacing w:line="233" w:lineRule="auto"/>
              <w:ind w:firstLine="0"/>
              <w:rPr>
                <w:rFonts w:ascii="Times New Roman" w:hAnsi="Times New Roman" w:eastAsia="Times New Roman" w:cs="Times New Roman"/>
                <w:color w:val="auto"/>
                <w:lang w:val="be-BY" w:eastAsia="ru-RU"/>
              </w:rPr>
            </w:pPr>
            <w:r>
              <w:rPr>
                <w:rFonts w:ascii="Times New Roman" w:hAnsi="Times New Roman" w:cs="Times New Roman"/>
                <w:color w:val="auto"/>
              </w:rPr>
              <w:t>Государственное учреждение «Центр по обеспечению деятельности бюджетных организаций администрации Первомайского района г. Минска»</w:t>
            </w:r>
          </w:p>
          <w:p w14:paraId="7FB0FEF0">
            <w:pPr>
              <w:spacing w:line="233" w:lineRule="auto"/>
              <w:ind w:firstLine="0"/>
              <w:jc w:val="left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</w:rPr>
              <w:t>УНП 193402504</w:t>
            </w:r>
          </w:p>
        </w:tc>
      </w:tr>
      <w:tr w14:paraId="1A7DD0D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24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E2C266C">
            <w:pPr>
              <w:spacing w:line="233" w:lineRule="auto"/>
              <w:ind w:firstLine="0"/>
              <w:jc w:val="left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Дата предоставления сведений о товарах и ценах на них (ответ на запрос)</w:t>
            </w:r>
          </w:p>
        </w:tc>
        <w:tc>
          <w:tcPr>
            <w:tcW w:w="250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C162D62">
            <w:pPr>
              <w:spacing w:line="233" w:lineRule="auto"/>
              <w:ind w:firstLine="0"/>
              <w:jc w:val="left"/>
              <w:rPr>
                <w:rFonts w:hint="default" w:ascii="Times New Roman" w:hAnsi="Times New Roman" w:eastAsia="Times New Roman" w:cs="Times New Roman"/>
                <w:color w:val="auto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Информацию направлять на электронную торговую</w:t>
            </w:r>
            <w:r>
              <w:rPr>
                <w:rFonts w:hint="default" w:ascii="Times New Roman" w:hAnsi="Times New Roman" w:eastAsia="Times New Roman" w:cs="Times New Roman"/>
                <w:color w:val="auto"/>
                <w:lang w:val="en-US" w:eastAsia="ru-RU"/>
              </w:rPr>
              <w:t xml:space="preserve"> площадку БУТБ</w:t>
            </w:r>
          </w:p>
        </w:tc>
      </w:tr>
      <w:tr w14:paraId="2E5694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tcW w:w="24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24D1551">
            <w:pPr>
              <w:spacing w:line="233" w:lineRule="auto"/>
              <w:ind w:firstLine="0"/>
              <w:jc w:val="left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</w:rPr>
              <w:t>Предельная стоимость предмета государственной закупки</w:t>
            </w:r>
          </w:p>
        </w:tc>
        <w:tc>
          <w:tcPr>
            <w:tcW w:w="250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D4D2254">
            <w:pPr>
              <w:spacing w:line="233" w:lineRule="auto"/>
              <w:ind w:firstLine="0"/>
              <w:jc w:val="left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auto"/>
                <w:lang w:val="ru-RU" w:eastAsia="ru-RU"/>
              </w:rPr>
              <w:t>16 491 руб. 90 коп. (шестнадцать тысяч четыреста девяноста один белорусский рубль 90 копеек).</w:t>
            </w:r>
          </w:p>
        </w:tc>
      </w:tr>
      <w:tr w14:paraId="009B9B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  <w:jc w:val="center"/>
        </w:trPr>
        <w:tc>
          <w:tcPr>
            <w:tcW w:w="24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1D6FA31">
            <w:pPr>
              <w:spacing w:line="233" w:lineRule="auto"/>
              <w:ind w:right="-107" w:firstLine="0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Требования к участникам, документы и (или) сведения для проверки требований к участникам</w:t>
            </w:r>
          </w:p>
        </w:tc>
        <w:tc>
          <w:tcPr>
            <w:tcW w:w="250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C93ACAD">
            <w:pPr>
              <w:pStyle w:val="25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К участникам предъявляются следующие требования:</w:t>
            </w:r>
          </w:p>
          <w:p w14:paraId="4DDC887E">
            <w:pPr>
              <w:pStyle w:val="25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1. Соответствие требованиям, установленным законодательством к юридическому лицу, в том числе индивидуальному предпринимателю, осуществляющему поставку товаров, являющихся предметом государственной закупки.</w:t>
            </w:r>
          </w:p>
          <w:p w14:paraId="31C3EC60">
            <w:pPr>
              <w:pStyle w:val="25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       </w:t>
            </w:r>
            <w:r>
              <w:rPr>
                <w:color w:val="auto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</w:rPr>
              <w:t>Соответствие данному требованию подтверждается свидетельством о государственной регистрации юридического лица или индивидуального предпринимателя для резидентов Республики Беларусь или выпиской из торгового реестра страны регистрации лица или иным эквивалентным доказательством юридического статуса в соответствии с законодательством страны регистрации для нерезидентов Республики Беларусь;</w:t>
            </w:r>
          </w:p>
          <w:p w14:paraId="21F3D5B2">
            <w:pPr>
              <w:pStyle w:val="25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2. Отсутствие у юридического лица или индивидуального предпринимателя задолженности по уплате налогов, сборов (пошлин), пеней, а также отсутствие у юридического лица или индивидуального предпринимателя, являющихся резидентами,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Беларусь. Данное требование не распространяется на юридическое лицо, в отношении которого возбуждено производство по делу о несостоятельности, а также на юридическое лицо или индивидуального предпринимателя, в отношении которых на дату подачи предложения в установленном Налоговым кодексом Республики Беларусь, иными законодательными актами порядке предоставлены отсрочка и (или) рассрочка по уплате налогов, сборов (пошлин), пеней, обязательных страховых взносов в бюджет государственного внебюджетного фонда социальной защиты населения Республики Беларусь, что подтверждается соответствующим заявлением участника.</w:t>
            </w:r>
          </w:p>
          <w:p w14:paraId="313FA6DC">
            <w:pPr>
              <w:pStyle w:val="42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rFonts w:eastAsiaTheme="minorEastAsia"/>
                <w:color w:val="auto"/>
                <w:sz w:val="20"/>
                <w:szCs w:val="20"/>
              </w:rPr>
            </w:pPr>
            <w:r>
              <w:rPr>
                <w:rFonts w:eastAsiaTheme="minorEastAsia"/>
                <w:color w:val="auto"/>
                <w:sz w:val="20"/>
                <w:szCs w:val="20"/>
              </w:rPr>
              <w:t xml:space="preserve">Соответствие требованию подтверждается: </w:t>
            </w:r>
          </w:p>
          <w:p w14:paraId="509375D8">
            <w:pPr>
              <w:pStyle w:val="42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rFonts w:eastAsiaTheme="minorEastAsia"/>
                <w:color w:val="auto"/>
                <w:sz w:val="20"/>
                <w:szCs w:val="20"/>
              </w:rPr>
            </w:pPr>
            <w:r>
              <w:rPr>
                <w:rFonts w:eastAsiaTheme="minorEastAsia"/>
                <w:color w:val="auto"/>
                <w:sz w:val="20"/>
                <w:szCs w:val="20"/>
              </w:rPr>
              <w:t>в отношении участников, являющихся резидентами, - путем проверки организатором таких сведений через официальные сайты Министерства по налогам и сборам, Фонда социальной защиты населения Министерства труда и социальной защиты в глобальной компьютерной сети Интернет на первое число месяца, в котором осуществляется рассмотрение предложения, а в случае отсутствия информации на указанную дату - на первое число месяца, предшествующего месяцу, в котором осуществляется рассмотрение предложения;</w:t>
            </w:r>
          </w:p>
          <w:p w14:paraId="7A1166D8">
            <w:pPr>
              <w:pStyle w:val="42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rFonts w:eastAsiaTheme="minorEastAsia"/>
                <w:color w:val="auto"/>
                <w:sz w:val="20"/>
                <w:szCs w:val="20"/>
              </w:rPr>
            </w:pPr>
            <w:r>
              <w:rPr>
                <w:rFonts w:eastAsiaTheme="minorEastAsia"/>
                <w:color w:val="auto"/>
                <w:sz w:val="20"/>
                <w:szCs w:val="20"/>
              </w:rPr>
              <w:t>участниками, не являющимися резидентами, - документом об отсутствии задолженности по уплате налогов, сборов (пошлин), пеней, выданным уполномоченными органами в соответствии с законодательством страны, резидентом которой является участник, на последнюю отчетную дату, предшествующую дню подачи предложения, и заявлением с указанием последней отчетной даты;</w:t>
            </w:r>
          </w:p>
          <w:p w14:paraId="39A71297">
            <w:pPr>
              <w:pStyle w:val="42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rFonts w:eastAsiaTheme="minorEastAsia"/>
                <w:color w:val="auto"/>
                <w:sz w:val="20"/>
                <w:szCs w:val="20"/>
              </w:rPr>
            </w:pPr>
          </w:p>
          <w:p w14:paraId="4EAA523C">
            <w:pPr>
              <w:pStyle w:val="25"/>
              <w:jc w:val="both"/>
              <w:rPr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3. Юридическое лицо, в том числе индивидуальный предприниматель, на дату подачи предложения не должно быть включено в список поставщиков (подрядчиков, исполнителей), временно не допускаемых к участию в процедурах государственных закупок. </w:t>
            </w:r>
            <w:r>
              <w:rPr>
                <w:color w:val="auto"/>
              </w:rPr>
              <w:t xml:space="preserve"> </w:t>
            </w:r>
          </w:p>
          <w:p w14:paraId="501E4524">
            <w:pPr>
              <w:pStyle w:val="25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       </w:t>
            </w:r>
            <w:r>
              <w:rPr>
                <w:color w:val="auto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</w:rPr>
              <w:t>Соответствие данному требованию подтверждается путем проверки оператором электронной торговой площадки списка, за исключением случая совместного участия в процедуре государственной закупки нескольких лиц в соответствии с пунктом 4 статьи 16 Закона. В данном случае соответствие настоящему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14:paraId="744802D6">
            <w:pPr>
              <w:pStyle w:val="25"/>
              <w:jc w:val="both"/>
              <w:rPr>
                <w:color w:val="auto"/>
              </w:rPr>
            </w:pPr>
          </w:p>
          <w:p w14:paraId="4CAD23C2">
            <w:pPr>
              <w:pStyle w:val="25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4. Юридическое или физическое лицо, в том числе индивидуальный предприниматель, с учетом положений статьи 16-1 Закона Республики Беларусь от 13.07.2012 N 419-З "О государственных закупках товаров (работ, услуг)" (далее – Закон) не должно быть аффилировано с заказчиком, организатором.</w:t>
            </w:r>
          </w:p>
          <w:p w14:paraId="04B3B532">
            <w:pPr>
              <w:pStyle w:val="25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       </w:t>
            </w:r>
            <w:r>
              <w:rPr>
                <w:color w:val="auto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</w:rPr>
              <w:t>Соответствие данному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14:paraId="568588B6">
            <w:pPr>
              <w:pStyle w:val="25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5. Юридическое или физическое лицо, в том числе индивидуальный предприниматель, являющееся участником-победителем, с учетом положений статьи 16-1 Закона не должно быть аффилировано со всеми другими участниками (а если предмет государственной закупки разделен на части (лоты) - с участниками по той же части (лоту)), допущенными к оценке и сравнению предложений (к торгам при проведении электронного аукциона).</w:t>
            </w:r>
          </w:p>
          <w:p w14:paraId="082AED5A">
            <w:pPr>
              <w:pStyle w:val="25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       Не позднее трех рабочих дней со дня уведомления участников о выборе участника-победителя последний обязан информировать организатора о том, что все участники (а если предмет государственной закупки разделен на части (лоты) - все участники по той же части (лоту)), допущенные к оценке и сравнению предложений (к торгам при проведении электронного аукциона), являются для него аффилированными лицами, либо о том, что среди таких участников имеется лицо, не аффилированное с ним. Соответствующая информация предоставляется участником-победителем в виде заявления по форме, установленной регламентом оператора электронной торговой площадки.</w:t>
            </w:r>
          </w:p>
          <w:p w14:paraId="1E6B192B">
            <w:pPr>
              <w:pStyle w:val="25"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14:paraId="3136F17D">
            <w:pPr>
              <w:pStyle w:val="25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6. Юридическое лицо, в том числе индивидуальный предприниматель, работник (работники) таких юридического лица или индивидуального предпринимателя не должны оказывать заказчику (организатору) услуги по организации и проведению процедуры государственной закупки, в том числе консультированию, а также формированию требований к предмету государственной закупки и (или) подготовке заключения по рассмотрению, оценке и сравнению предложений.</w:t>
            </w:r>
          </w:p>
          <w:p w14:paraId="1FA04D7E">
            <w:pPr>
              <w:pStyle w:val="25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       </w:t>
            </w:r>
            <w:r>
              <w:rPr>
                <w:color w:val="auto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</w:rPr>
              <w:t>Соответствие данному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14:paraId="41485F65">
            <w:pPr>
              <w:pStyle w:val="25"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14:paraId="2CA768AB">
            <w:pPr>
              <w:pStyle w:val="25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7. Юридическое лицо или индивидуальный предприниматель не должны являться заказчиком (организатором) проводимой процедуры государственной закупки.</w:t>
            </w:r>
          </w:p>
          <w:p w14:paraId="2FFF158C">
            <w:pPr>
              <w:pStyle w:val="25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       </w:t>
            </w:r>
            <w:r>
              <w:rPr>
                <w:color w:val="auto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</w:rPr>
              <w:t>Соответствие данному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14:paraId="04B44336">
            <w:pPr>
              <w:pStyle w:val="25"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14:paraId="5DA6AA9B">
            <w:pPr>
              <w:pStyle w:val="25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8. Юридическое лицо не должно находиться в процессе ликвидации, реорганизации (за исключением юридического лица, к которому присоединяется другое юридическое лицо), индивидуальный предприниматель не должен находиться в стадии прекращения деятельности.</w:t>
            </w:r>
          </w:p>
          <w:p w14:paraId="75F8C113">
            <w:pPr>
              <w:pStyle w:val="25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        Соответствие данному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14:paraId="07AC5F0A">
            <w:pPr>
              <w:pStyle w:val="25"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14:paraId="12D09C1B">
            <w:pPr>
              <w:pStyle w:val="25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9. В отношении юридического лица и индивидуального предпринимателя не должно быть возбуждено производство по делу о банкротстве.</w:t>
            </w:r>
          </w:p>
          <w:p w14:paraId="56FC9AED">
            <w:pPr>
              <w:pStyle w:val="25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        Соответствие данному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14:paraId="495D448B">
            <w:pPr>
              <w:pStyle w:val="25"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14:paraId="713036ED">
            <w:pPr>
              <w:pStyle w:val="25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10. Юридическое лицо, в том числе индивидуальный предприниматель, должно обладать правомочиями на реализацию товаров (выполнение работ, оказание услуг) на территории Республики Беларусь с использованием товарных знаков и знаков обслуживания в случае поставки товаров (выполнение работ, оказание услуг) с использованием товарных знаков и (или) знаков обслуживания.</w:t>
            </w:r>
          </w:p>
          <w:p w14:paraId="7F7647E7">
            <w:pPr>
              <w:pStyle w:val="25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        Соответствие данному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14:paraId="684EC6EA">
            <w:pPr>
              <w:pStyle w:val="25"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14:paraId="66F38A39">
            <w:pPr>
              <w:pStyle w:val="25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11. Физическое лицо, в том числе индивидуальный предприниматель, - участник процедуры государственной закупки, лицо, осуществляющее полномочия единоличного исполнительного органа юридического лица - участника процедуры государственной закупки, и лицо, имеющее право давать такому юридическому лицу обязательные для исполнения указания на основании учредительных документов или заключенного договора, не должны считаться подвергавшимися административному взысканию за административные правонарушения, предусмотренные в частях 1, 7, 8 и 10 статьи 14.4, частях 4 и 5 статьи 14.5 Кодекса Республики Беларусь об административных правонарушениях;</w:t>
            </w:r>
          </w:p>
          <w:p w14:paraId="6AA54025">
            <w:pPr>
              <w:pStyle w:val="25"/>
              <w:ind w:firstLine="54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отсутствие у участника процедуры государственной закупки - физического лица, в том числе индивидуального предпринимателя, не снятой или не погашенной в установленном порядке судимости за преступления, предусмотренные в статьях 209 - 212, 216, 235, 243 - 243-3, 424 - 426, 429 - 432 и 455 Уголовного кодекса Республики Беларусь;</w:t>
            </w:r>
          </w:p>
          <w:p w14:paraId="744D8E18">
            <w:pPr>
              <w:pStyle w:val="25"/>
              <w:ind w:firstLine="54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отсутствие у лица, осуществляющего полномочия единоличного исполнительного органа юридического лица - участника процедуры государственной закупки, и лица, имеющего право давать такому юридическому лицу обязательные для исполнения указания на основании учредительных документов или заключенного договора, не снятой или не погашенной в установленном порядке судимости за преступления, предусмотренные в статьях 209 - 212, 216, 235, 243 - 243-3, 424 - 426, 429 - 432 и 455 Уголовного кодекса Республики Беларусь;</w:t>
            </w:r>
          </w:p>
          <w:p w14:paraId="34C2839C">
            <w:pPr>
              <w:pStyle w:val="25"/>
              <w:ind w:firstLine="54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юридическое лицо не должно считаться подвергавшимся административному взысканию за административное правонарушение, предусмотренное в статье 24.59 Кодекса Республики Беларусь об административных правонарушениях;</w:t>
            </w:r>
          </w:p>
          <w:p w14:paraId="5ACF64C0">
            <w:pPr>
              <w:pStyle w:val="25"/>
              <w:ind w:firstLine="54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физическое лицо, в том числе индивидуальный предприниматель, не должны быть включены в перечень граждан Республики Беларусь, иностранных граждан или лиц без гражданства, причастных к экстремистской деятельности;</w:t>
            </w:r>
          </w:p>
          <w:p w14:paraId="1020DC15">
            <w:pPr>
              <w:pStyle w:val="25"/>
              <w:ind w:firstLine="54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юридическое или физическое лицо, в том числе индивидуальный предприниматель, не должны быть включены в перечень организаций и физических лиц, в том числе индивидуальных предпринимателей, причастных к террористической деятельности;</w:t>
            </w:r>
          </w:p>
          <w:p w14:paraId="06FE9514">
            <w:pPr>
              <w:pStyle w:val="25"/>
              <w:ind w:firstLine="54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юридическое или физическое лицо, в том числе индивидуальный предприниматель, не должны быть включены в перечень организаций, формирований, индивидуальных предпринимателей, причастных к экстремистской деятельности.</w:t>
            </w:r>
          </w:p>
          <w:p w14:paraId="5BC88FDD">
            <w:pPr>
              <w:pStyle w:val="25"/>
              <w:jc w:val="both"/>
              <w:rPr>
                <w:rFonts w:ascii="Times New Roman" w:hAnsi="Times New Roman" w:cs="Times New Roman"/>
                <w:i/>
                <w:color w:val="auto"/>
              </w:rPr>
            </w:pPr>
            <w:r>
              <w:rPr>
                <w:rFonts w:ascii="Times New Roman" w:hAnsi="Times New Roman" w:cs="Times New Roman"/>
                <w:i/>
                <w:color w:val="auto"/>
              </w:rPr>
              <w:t xml:space="preserve">                Соответствие данному требованию подтверждается заявлением участника, подписанным не ранее чем за пять рабочих дней до даты подачи предложения. Такое заявление подается по форме, установленной регламентом оператора электронной торговой площадки.</w:t>
            </w:r>
          </w:p>
        </w:tc>
      </w:tr>
      <w:tr w14:paraId="2F922C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  <w:jc w:val="center"/>
        </w:trPr>
        <w:tc>
          <w:tcPr>
            <w:tcW w:w="5000" w:type="pct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D408F98">
            <w:pPr>
              <w:pStyle w:val="25"/>
              <w:spacing w:line="233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>Сведения о предмете государственной закупки</w:t>
            </w:r>
          </w:p>
        </w:tc>
      </w:tr>
    </w:tbl>
    <w:p w14:paraId="0B2139B4">
      <w:pPr>
        <w:ind w:firstLine="0"/>
        <w:jc w:val="center"/>
        <w:rPr>
          <w:rFonts w:ascii="Times New Roman" w:hAnsi="Times New Roman" w:cs="Times New Roman" w:eastAsiaTheme="minorEastAsia"/>
          <w:color w:val="auto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color w:val="auto"/>
          <w:sz w:val="20"/>
          <w:szCs w:val="20"/>
          <w:lang w:eastAsia="ru-RU"/>
        </w:rPr>
        <w:t>Лот №1</w:t>
      </w:r>
    </w:p>
    <w:tbl>
      <w:tblPr>
        <w:tblStyle w:val="6"/>
        <w:tblW w:w="10206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98"/>
        <w:gridCol w:w="5108"/>
      </w:tblGrid>
      <w:tr w14:paraId="5D76E7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9" w:hRule="atLeast"/>
          <w:jc w:val="center"/>
        </w:trPr>
        <w:tc>
          <w:tcPr>
            <w:tcW w:w="5098" w:type="dxa"/>
          </w:tcPr>
          <w:p w14:paraId="0437F1E5">
            <w:pPr>
              <w:spacing w:line="226" w:lineRule="auto"/>
              <w:ind w:firstLine="0"/>
              <w:rPr>
                <w:rFonts w:ascii="Times New Roman" w:hAnsi="Times New Roman" w:cs="Times New Roman" w:eastAsiaTheme="minorEastAsia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0"/>
                <w:lang w:eastAsia="ru-RU"/>
              </w:rPr>
              <w:t xml:space="preserve">Наименование товаров (работ, услуг) </w:t>
            </w:r>
          </w:p>
        </w:tc>
        <w:tc>
          <w:tcPr>
            <w:tcW w:w="5108" w:type="dxa"/>
            <w:vAlign w:val="center"/>
          </w:tcPr>
          <w:p w14:paraId="6BFE5804">
            <w:pPr>
              <w:pStyle w:val="26"/>
              <w:widowControl/>
              <w:jc w:val="both"/>
              <w:rPr>
                <w:rFonts w:hint="default" w:ascii="Times New Roman" w:hAnsi="Times New Roman" w:cs="Times New Roman" w:eastAsiaTheme="minorEastAsia"/>
                <w:color w:val="auto"/>
                <w:sz w:val="20"/>
                <w:szCs w:val="20"/>
                <w:lang w:val="en-US" w:eastAsia="ru-RU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0"/>
                <w:szCs w:val="20"/>
                <w:lang w:val="en-US" w:eastAsia="ru-RU"/>
              </w:rPr>
              <w:t>Текущий ремонт (замена) парапетов на кровле здания общежития в государственном учреждении образования «Центр дополнительного образования детей и молодежи «АРТ» г.Минска», Минская обл., Воложинский р-н, Раковский с/с, д. Полочанка</w:t>
            </w:r>
          </w:p>
        </w:tc>
      </w:tr>
      <w:tr w14:paraId="78AA43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492B4518">
            <w:pPr>
              <w:spacing w:line="226" w:lineRule="auto"/>
              <w:ind w:firstLine="0"/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Код по ОКРБ 007-2012</w:t>
            </w:r>
          </w:p>
        </w:tc>
        <w:tc>
          <w:tcPr>
            <w:tcW w:w="5108" w:type="dxa"/>
            <w:vAlign w:val="center"/>
          </w:tcPr>
          <w:p w14:paraId="21C105DB">
            <w:pPr>
              <w:pStyle w:val="25"/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43.99.40.900</w:t>
            </w:r>
          </w:p>
        </w:tc>
      </w:tr>
      <w:tr w14:paraId="13818EC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3FA82798">
            <w:pPr>
              <w:spacing w:line="226" w:lineRule="auto"/>
              <w:ind w:firstLine="0"/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Наименование в соответствии с ОКРБ 007-2012</w:t>
            </w:r>
          </w:p>
        </w:tc>
        <w:tc>
          <w:tcPr>
            <w:tcW w:w="5108" w:type="dxa"/>
            <w:vAlign w:val="center"/>
          </w:tcPr>
          <w:p w14:paraId="485881D7">
            <w:pPr>
              <w:pStyle w:val="25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 xml:space="preserve">Работы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  <w:lang w:val="ru-RU"/>
              </w:rPr>
              <w:t>бетонные</w:t>
            </w: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shd w:val="clear" w:color="auto" w:fill="FFFFFF"/>
                <w:lang w:val="ru-RU"/>
              </w:rPr>
              <w:t xml:space="preserve"> прочие</w:t>
            </w:r>
          </w:p>
        </w:tc>
      </w:tr>
      <w:tr w14:paraId="05094C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  <w:tcBorders>
              <w:bottom w:val="single" w:color="auto" w:sz="4" w:space="0"/>
            </w:tcBorders>
          </w:tcPr>
          <w:p w14:paraId="3BF6AC74">
            <w:pPr>
              <w:spacing w:line="226" w:lineRule="auto"/>
              <w:ind w:firstLine="0"/>
              <w:rPr>
                <w:rFonts w:ascii="Times New Roman" w:hAnsi="Times New Roman" w:cs="Times New Roman" w:eastAsiaTheme="minorEastAsia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0"/>
                <w:lang w:eastAsia="ru-RU"/>
              </w:rPr>
              <w:t>Объем (количество)</w:t>
            </w:r>
          </w:p>
        </w:tc>
        <w:tc>
          <w:tcPr>
            <w:tcW w:w="5108" w:type="dxa"/>
            <w:tcBorders>
              <w:bottom w:val="single" w:color="auto" w:sz="4" w:space="0"/>
            </w:tcBorders>
            <w:vAlign w:val="center"/>
          </w:tcPr>
          <w:p w14:paraId="25575831">
            <w:pPr>
              <w:pStyle w:val="25"/>
              <w:rPr>
                <w:rFonts w:ascii="Times New Roman" w:hAnsi="Times New Roman" w:cs="Times New Roman" w:eastAsiaTheme="minorEastAsia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  <w:highlight w:val="none"/>
              </w:rPr>
              <w:t>1 ед.</w:t>
            </w:r>
          </w:p>
        </w:tc>
      </w:tr>
      <w:tr w14:paraId="4262C5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D424B1">
            <w:pPr>
              <w:spacing w:line="226" w:lineRule="auto"/>
              <w:ind w:firstLine="0"/>
              <w:rPr>
                <w:rFonts w:ascii="Times New Roman" w:hAnsi="Times New Roman" w:cs="Times New Roman" w:eastAsiaTheme="minorEastAsia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0"/>
                <w:lang w:eastAsia="ru-RU"/>
              </w:rPr>
              <w:t>Срок (сроки) поставки товаров (выполнения работ, оказания услуг)</w:t>
            </w:r>
          </w:p>
        </w:tc>
        <w:tc>
          <w:tcPr>
            <w:tcW w:w="51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2D984C">
            <w:pPr>
              <w:pStyle w:val="25"/>
              <w:rPr>
                <w:rFonts w:hint="default" w:ascii="Times New Roman" w:hAnsi="Times New Roman" w:cs="Times New Roman" w:eastAsiaTheme="minorEastAsia"/>
                <w:color w:val="auto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0"/>
                <w:szCs w:val="20"/>
                <w:lang w:val="ru-RU"/>
              </w:rPr>
              <w:t>7 календарных дней с даты заключения договора.</w:t>
            </w:r>
          </w:p>
        </w:tc>
      </w:tr>
      <w:tr w14:paraId="09780E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F45415">
            <w:pPr>
              <w:spacing w:line="226" w:lineRule="auto"/>
              <w:ind w:firstLine="0"/>
              <w:rPr>
                <w:rFonts w:ascii="Times New Roman" w:hAnsi="Times New Roman" w:cs="Times New Roman" w:eastAsiaTheme="minorEastAsia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0"/>
                <w:lang w:eastAsia="ru-RU"/>
              </w:rPr>
              <w:t>Место оказания услуг (выполнения работ)</w:t>
            </w:r>
          </w:p>
        </w:tc>
        <w:tc>
          <w:tcPr>
            <w:tcW w:w="51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2E5E21">
            <w:pPr>
              <w:pStyle w:val="25"/>
              <w:rPr>
                <w:rFonts w:hint="default" w:ascii="Times New Roman" w:hAnsi="Times New Roman" w:cs="Times New Roman" w:eastAsiaTheme="minorEastAsia"/>
                <w:color w:val="auto"/>
                <w:sz w:val="20"/>
                <w:szCs w:val="20"/>
                <w:lang w:val="ru-RU" w:eastAsia="ru-RU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0"/>
                <w:szCs w:val="20"/>
                <w:lang w:val="ru-RU" w:eastAsia="ru-RU"/>
              </w:rPr>
              <w:t>Минская обл., Воложинский р-н, Раковский с/с, д. Полочанка</w:t>
            </w:r>
          </w:p>
        </w:tc>
      </w:tr>
      <w:tr w14:paraId="50AAFFC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0A1FAC">
            <w:pPr>
              <w:spacing w:line="226" w:lineRule="auto"/>
              <w:ind w:firstLine="0"/>
              <w:rPr>
                <w:rFonts w:ascii="Times New Roman" w:hAnsi="Times New Roman" w:cs="Times New Roman" w:eastAsiaTheme="minorEastAsia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0"/>
                <w:lang w:eastAsia="ru-RU"/>
              </w:rPr>
              <w:t xml:space="preserve">Предельная стоимость государственной закупки </w:t>
            </w:r>
          </w:p>
        </w:tc>
        <w:tc>
          <w:tcPr>
            <w:tcW w:w="51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8CE277">
            <w:pPr>
              <w:pStyle w:val="25"/>
              <w:jc w:val="both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auto"/>
                <w:sz w:val="20"/>
                <w:szCs w:val="20"/>
                <w:lang w:val="ru-RU" w:eastAsia="ru-RU"/>
              </w:rPr>
              <w:t>16 491 руб. 90 коп. (шестнадцать тысяч четыреста девяноста один белорусский рубль 90 копеек).</w:t>
            </w:r>
            <w:bookmarkStart w:id="0" w:name="_GoBack"/>
            <w:bookmarkEnd w:id="0"/>
          </w:p>
        </w:tc>
      </w:tr>
      <w:tr w14:paraId="0CA34E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66B332">
            <w:pPr>
              <w:spacing w:line="226" w:lineRule="auto"/>
              <w:ind w:firstLine="0"/>
              <w:rPr>
                <w:rFonts w:ascii="Times New Roman" w:hAnsi="Times New Roman" w:cs="Times New Roman" w:eastAsiaTheme="minorEastAsia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0"/>
                <w:lang w:eastAsia="ru-RU"/>
              </w:rPr>
              <w:t>Источник финансирования государственной закупки</w:t>
            </w:r>
          </w:p>
        </w:tc>
        <w:tc>
          <w:tcPr>
            <w:tcW w:w="51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1F884B">
            <w:pPr>
              <w:pStyle w:val="25"/>
              <w:rPr>
                <w:rFonts w:ascii="Times New Roman" w:hAnsi="Times New Roman" w:cs="Times New Roman" w:eastAsiaTheme="minorEastAsia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  <w:highlight w:val="none"/>
              </w:rPr>
              <w:t>местный бюджет</w:t>
            </w:r>
          </w:p>
        </w:tc>
      </w:tr>
      <w:tr w14:paraId="3DE724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" w:hRule="atLeast"/>
          <w:jc w:val="center"/>
        </w:trPr>
        <w:tc>
          <w:tcPr>
            <w:tcW w:w="10206" w:type="dxa"/>
            <w:gridSpan w:val="2"/>
            <w:tcBorders>
              <w:top w:val="single" w:color="auto" w:sz="4" w:space="0"/>
            </w:tcBorders>
          </w:tcPr>
          <w:p w14:paraId="52A576B0">
            <w:pPr>
              <w:widowControl w:val="0"/>
              <w:spacing w:line="226" w:lineRule="auto"/>
              <w:ind w:firstLine="0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II. ОПИСАНИЕ ПРЕДМЕТА ГОСУДАРСТВЕННОЙ ЗАКУПКИ</w:t>
            </w:r>
          </w:p>
        </w:tc>
      </w:tr>
      <w:tr w14:paraId="50F02A0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3AD98824">
            <w:pPr>
              <w:spacing w:line="226" w:lineRule="auto"/>
              <w:ind w:firstLine="0"/>
              <w:rPr>
                <w:rFonts w:ascii="Times New Roman" w:hAnsi="Times New Roman" w:cs="Times New Roman" w:eastAsiaTheme="minorEastAsia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Описание предмета государственной закупки, а также перечень документов и (или) сведений, подтверждающих соответствие предмету государственной закупки и требованиям к предмету государственной закупки</w:t>
            </w:r>
          </w:p>
        </w:tc>
        <w:tc>
          <w:tcPr>
            <w:tcW w:w="5108" w:type="dxa"/>
          </w:tcPr>
          <w:p w14:paraId="281307BF">
            <w:pPr>
              <w:pStyle w:val="25"/>
              <w:spacing w:line="226" w:lineRule="auto"/>
              <w:jc w:val="both"/>
              <w:rPr>
                <w:rFonts w:hint="default" w:ascii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Описание предмета закупки указано в техническом задании, дефектн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lang w:val="ru-RU"/>
              </w:rPr>
              <w:t>ом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акт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lang w:val="ru-RU"/>
              </w:rPr>
              <w:t>е</w:t>
            </w: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lang w:val="ru-RU"/>
              </w:rPr>
              <w:t>,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локальн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lang w:val="ru-RU"/>
              </w:rPr>
              <w:t>ой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смет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lang w:val="ru-RU"/>
              </w:rPr>
              <w:t>е</w:t>
            </w: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lang w:val="ru-RU"/>
              </w:rPr>
              <w:t>.</w:t>
            </w:r>
          </w:p>
          <w:p w14:paraId="434590E4">
            <w:pPr>
              <w:pStyle w:val="25"/>
              <w:spacing w:line="226" w:lineRule="auto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Гарантийные обязательства на выполняемые работы:</w:t>
            </w: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lang w:val="ru-RU"/>
              </w:rPr>
              <w:t xml:space="preserve">    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не менее 5 лет с момента утверждения акта ввода объекта в эксплуатацию;</w:t>
            </w:r>
          </w:p>
        </w:tc>
      </w:tr>
      <w:tr w14:paraId="1BC046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2F4E5CD5">
            <w:pPr>
              <w:spacing w:line="226" w:lineRule="auto"/>
              <w:ind w:firstLine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Порядок формирования цены предложения</w:t>
            </w:r>
          </w:p>
        </w:tc>
        <w:tc>
          <w:tcPr>
            <w:tcW w:w="5108" w:type="dxa"/>
          </w:tcPr>
          <w:p w14:paraId="420707EE">
            <w:pPr>
              <w:widowControl w:val="0"/>
              <w:spacing w:line="226" w:lineRule="auto"/>
              <w:ind w:firstLine="0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0"/>
                <w:szCs w:val="20"/>
              </w:rPr>
              <w:t>В соответствии с техническим заданием</w:t>
            </w:r>
          </w:p>
        </w:tc>
      </w:tr>
    </w:tbl>
    <w:p w14:paraId="28B3EEC6">
      <w:pPr>
        <w:ind w:firstLine="0"/>
        <w:rPr>
          <w:rFonts w:ascii="Times New Roman" w:hAnsi="Times New Roman"/>
          <w:color w:val="auto"/>
        </w:rPr>
      </w:pPr>
    </w:p>
    <w:p w14:paraId="01D1280B">
      <w:pPr>
        <w:ind w:firstLine="0"/>
        <w:rPr>
          <w:rFonts w:hint="default" w:ascii="Times New Roman" w:hAnsi="Times New Roman"/>
          <w:color w:val="auto"/>
          <w:lang w:val="ru-RU"/>
        </w:rPr>
      </w:pPr>
      <w:r>
        <w:rPr>
          <w:rFonts w:ascii="Times New Roman" w:hAnsi="Times New Roman"/>
          <w:color w:val="auto"/>
          <w:lang w:val="ru-RU"/>
        </w:rPr>
        <w:t>Начальник</w:t>
      </w:r>
      <w:r>
        <w:rPr>
          <w:rFonts w:hint="default" w:ascii="Times New Roman" w:hAnsi="Times New Roman"/>
          <w:color w:val="auto"/>
          <w:lang w:val="ru-RU"/>
        </w:rPr>
        <w:t xml:space="preserve"> УЦХО </w:t>
      </w:r>
      <w:r>
        <w:rPr>
          <w:rFonts w:hint="default" w:ascii="Times New Roman" w:hAnsi="Times New Roman"/>
          <w:color w:val="auto"/>
          <w:lang w:val="ru-RU"/>
        </w:rPr>
        <w:tab/>
      </w:r>
      <w:r>
        <w:rPr>
          <w:rFonts w:hint="default" w:ascii="Times New Roman" w:hAnsi="Times New Roman"/>
          <w:color w:val="auto"/>
          <w:lang w:val="ru-RU"/>
        </w:rPr>
        <w:tab/>
      </w:r>
      <w:r>
        <w:rPr>
          <w:rFonts w:hint="default" w:ascii="Times New Roman" w:hAnsi="Times New Roman"/>
          <w:color w:val="auto"/>
          <w:lang w:val="ru-RU"/>
        </w:rPr>
        <w:tab/>
      </w:r>
      <w:r>
        <w:rPr>
          <w:rFonts w:hint="default" w:ascii="Times New Roman" w:hAnsi="Times New Roman"/>
          <w:color w:val="auto"/>
          <w:lang w:val="ru-RU"/>
        </w:rPr>
        <w:tab/>
      </w:r>
      <w:r>
        <w:rPr>
          <w:rFonts w:hint="default" w:ascii="Times New Roman" w:hAnsi="Times New Roman"/>
          <w:color w:val="auto"/>
          <w:lang w:val="ru-RU"/>
        </w:rPr>
        <w:tab/>
      </w:r>
      <w:r>
        <w:rPr>
          <w:rFonts w:hint="default" w:ascii="Times New Roman" w:hAnsi="Times New Roman"/>
          <w:color w:val="auto"/>
          <w:lang w:val="ru-RU"/>
        </w:rPr>
        <w:tab/>
      </w:r>
      <w:r>
        <w:rPr>
          <w:rFonts w:hint="default" w:ascii="Times New Roman" w:hAnsi="Times New Roman"/>
          <w:color w:val="auto"/>
          <w:lang w:val="ru-RU"/>
        </w:rPr>
        <w:tab/>
      </w:r>
      <w:r>
        <w:rPr>
          <w:rFonts w:hint="default" w:ascii="Times New Roman" w:hAnsi="Times New Roman"/>
          <w:color w:val="auto"/>
          <w:lang w:val="ru-RU"/>
        </w:rPr>
        <w:tab/>
      </w:r>
      <w:r>
        <w:rPr>
          <w:rFonts w:hint="default" w:ascii="Times New Roman" w:hAnsi="Times New Roman"/>
          <w:color w:val="auto"/>
          <w:lang w:val="ru-RU"/>
        </w:rPr>
        <w:t>И.С.Бугакова</w:t>
      </w:r>
    </w:p>
    <w:p w14:paraId="3DDBE1D4">
      <w:pPr>
        <w:ind w:firstLine="0"/>
        <w:rPr>
          <w:rFonts w:hint="default" w:ascii="Times New Roman" w:hAnsi="Times New Roman"/>
          <w:color w:val="auto"/>
          <w:lang w:val="ru-RU"/>
        </w:rPr>
      </w:pPr>
    </w:p>
    <w:p w14:paraId="0B84E4D3">
      <w:pPr>
        <w:ind w:firstLine="0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  <w:lang w:val="ru-RU"/>
        </w:rPr>
        <w:t>Зам</w:t>
      </w:r>
      <w:r>
        <w:rPr>
          <w:rFonts w:hint="default" w:ascii="Times New Roman" w:hAnsi="Times New Roman"/>
          <w:color w:val="auto"/>
          <w:lang w:val="ru-RU"/>
        </w:rPr>
        <w:t xml:space="preserve"> начальника </w:t>
      </w:r>
      <w:r>
        <w:rPr>
          <w:rFonts w:ascii="Times New Roman" w:hAnsi="Times New Roman"/>
          <w:color w:val="auto"/>
        </w:rPr>
        <w:t>УЦХО:</w:t>
      </w:r>
      <w:r>
        <w:rPr>
          <w:rFonts w:ascii="Times New Roman" w:hAnsi="Times New Roman"/>
          <w:color w:val="auto"/>
        </w:rPr>
        <w:tab/>
      </w:r>
      <w:r>
        <w:rPr>
          <w:rFonts w:ascii="Times New Roman" w:hAnsi="Times New Roman"/>
          <w:color w:val="auto"/>
        </w:rPr>
        <w:tab/>
      </w:r>
      <w:r>
        <w:rPr>
          <w:rFonts w:ascii="Times New Roman" w:hAnsi="Times New Roman"/>
          <w:color w:val="auto"/>
        </w:rPr>
        <w:tab/>
      </w:r>
      <w:r>
        <w:rPr>
          <w:rFonts w:ascii="Times New Roman" w:hAnsi="Times New Roman"/>
          <w:color w:val="auto"/>
        </w:rPr>
        <w:tab/>
      </w:r>
      <w:r>
        <w:rPr>
          <w:rFonts w:ascii="Times New Roman" w:hAnsi="Times New Roman"/>
          <w:color w:val="auto"/>
        </w:rPr>
        <w:tab/>
      </w:r>
      <w:r>
        <w:rPr>
          <w:rFonts w:ascii="Times New Roman" w:hAnsi="Times New Roman"/>
          <w:color w:val="auto"/>
        </w:rPr>
        <w:tab/>
      </w:r>
      <w:r>
        <w:rPr>
          <w:rFonts w:ascii="Times New Roman" w:hAnsi="Times New Roman"/>
          <w:color w:val="auto"/>
        </w:rPr>
        <w:tab/>
      </w:r>
      <w:r>
        <w:rPr>
          <w:rFonts w:ascii="Times New Roman" w:hAnsi="Times New Roman"/>
          <w:color w:val="auto"/>
        </w:rPr>
        <w:t>Ю.М.Заграбский</w:t>
      </w:r>
    </w:p>
    <w:p w14:paraId="76C73FBC">
      <w:pPr>
        <w:ind w:left="0" w:leftChars="0" w:firstLine="0" w:firstLineChars="0"/>
        <w:rPr>
          <w:rFonts w:hint="default" w:ascii="Times New Roman" w:hAnsi="Times New Roman"/>
          <w:color w:val="auto"/>
          <w:sz w:val="16"/>
          <w:szCs w:val="16"/>
          <w:lang w:val="ru-RU"/>
        </w:rPr>
      </w:pPr>
      <w:r>
        <w:rPr>
          <w:rFonts w:ascii="Times New Roman" w:hAnsi="Times New Roman"/>
          <w:color w:val="auto"/>
          <w:sz w:val="16"/>
          <w:szCs w:val="16"/>
          <w:lang w:val="ru-RU"/>
        </w:rPr>
        <w:t>Электронный</w:t>
      </w:r>
      <w:r>
        <w:rPr>
          <w:rFonts w:hint="default" w:ascii="Times New Roman" w:hAnsi="Times New Roman"/>
          <w:color w:val="auto"/>
          <w:sz w:val="16"/>
          <w:szCs w:val="16"/>
          <w:lang w:val="ru-RU"/>
        </w:rPr>
        <w:t xml:space="preserve"> документ соответствует оригиналу</w:t>
      </w:r>
    </w:p>
    <w:p w14:paraId="2383023D">
      <w:pPr>
        <w:widowControl w:val="0"/>
        <w:tabs>
          <w:tab w:val="left" w:pos="1120"/>
        </w:tabs>
        <w:adjustRightInd w:val="0"/>
        <w:ind w:firstLine="0"/>
        <w:rPr>
          <w:rFonts w:ascii="Times New Roman" w:hAnsi="Times New Roman" w:eastAsia="Times New Roman" w:cs="Times New Roman"/>
          <w:color w:val="auto"/>
          <w:lang w:eastAsia="ru-RU"/>
        </w:rPr>
      </w:pPr>
    </w:p>
    <w:p w14:paraId="0B425315">
      <w:pPr>
        <w:widowControl w:val="0"/>
        <w:tabs>
          <w:tab w:val="left" w:pos="1120"/>
        </w:tabs>
        <w:adjustRightInd w:val="0"/>
        <w:ind w:firstLine="0"/>
        <w:rPr>
          <w:rFonts w:ascii="Times New Roman" w:hAnsi="Times New Roman" w:eastAsia="Times New Roman" w:cs="Times New Roman"/>
          <w:color w:val="auto"/>
          <w:lang w:eastAsia="ru-RU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454" w:right="851" w:bottom="425" w:left="851" w:header="709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CC"/>
    <w:family w:val="swiss"/>
    <w:pitch w:val="default"/>
    <w:sig w:usb0="E4002EFF" w:usb1="C000247B" w:usb2="00000009" w:usb3="00000000" w:csb0="200001FF" w:csb1="00000000"/>
  </w:font>
  <w:font w:name="等线 Light">
    <w:altName w:val="Liberation Mono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Liberation Mono">
    <w:panose1 w:val="02070409020205020404"/>
    <w:charset w:val="00"/>
    <w:family w:val="auto"/>
    <w:pitch w:val="default"/>
    <w:sig w:usb0="E0000AFF" w:usb1="400078FF" w:usb2="00000001" w:usb3="00000000" w:csb0="600001BF" w:csb1="DFF70000"/>
  </w:font>
  <w:font w:name="Segoe UI">
    <w:panose1 w:val="020B0502040204020203"/>
    <w:charset w:val="CC"/>
    <w:family w:val="swiss"/>
    <w:pitch w:val="default"/>
    <w:sig w:usb0="E4002EFF" w:usb1="C000E47F" w:usb2="00000009" w:usb3="00000000" w:csb0="200001FF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656529162"/>
      <w:docPartObj>
        <w:docPartGallery w:val="autotext"/>
      </w:docPartObj>
    </w:sdtPr>
    <w:sdtContent>
      <w:p w14:paraId="5654ACDB">
        <w:pPr>
          <w:pStyle w:val="12"/>
          <w:jc w:val="center"/>
        </w:pP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PAGE   \* MERGEFORMAT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sz w:val="24"/>
            <w:szCs w:val="24"/>
          </w:rPr>
          <w:t>5</w:t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3D0FC25F">
    <w:pPr>
      <w:pStyle w:val="1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D535AD">
    <w:pPr>
      <w:pStyle w:val="1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CED5F4">
    <w:pPr>
      <w:pStyle w:val="1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3A9F9B">
    <w:pPr>
      <w:pStyle w:val="1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487ACE">
    <w:pPr>
      <w:pStyle w:val="1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836B50">
    <w:pPr>
      <w:pStyle w:val="1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47E7"/>
    <w:rsid w:val="00000BDF"/>
    <w:rsid w:val="00004257"/>
    <w:rsid w:val="00011C49"/>
    <w:rsid w:val="000158A1"/>
    <w:rsid w:val="0002304B"/>
    <w:rsid w:val="0003200C"/>
    <w:rsid w:val="00032CC4"/>
    <w:rsid w:val="00033380"/>
    <w:rsid w:val="00033B98"/>
    <w:rsid w:val="00035BEA"/>
    <w:rsid w:val="00036B8A"/>
    <w:rsid w:val="00046EAC"/>
    <w:rsid w:val="000561E9"/>
    <w:rsid w:val="00056916"/>
    <w:rsid w:val="000627CE"/>
    <w:rsid w:val="00066FFF"/>
    <w:rsid w:val="000674B7"/>
    <w:rsid w:val="000707B5"/>
    <w:rsid w:val="000726FC"/>
    <w:rsid w:val="00072950"/>
    <w:rsid w:val="00073C6B"/>
    <w:rsid w:val="000750F6"/>
    <w:rsid w:val="000834D3"/>
    <w:rsid w:val="000C1BC1"/>
    <w:rsid w:val="000C1D61"/>
    <w:rsid w:val="000C3F09"/>
    <w:rsid w:val="000C4CE5"/>
    <w:rsid w:val="000C5A06"/>
    <w:rsid w:val="000C6776"/>
    <w:rsid w:val="000E0319"/>
    <w:rsid w:val="00101286"/>
    <w:rsid w:val="00106FD9"/>
    <w:rsid w:val="0011065A"/>
    <w:rsid w:val="00117080"/>
    <w:rsid w:val="00124C02"/>
    <w:rsid w:val="0012702E"/>
    <w:rsid w:val="001320FA"/>
    <w:rsid w:val="00154D06"/>
    <w:rsid w:val="001557CF"/>
    <w:rsid w:val="00173C42"/>
    <w:rsid w:val="001740F1"/>
    <w:rsid w:val="001756FD"/>
    <w:rsid w:val="00180862"/>
    <w:rsid w:val="0018617F"/>
    <w:rsid w:val="00186449"/>
    <w:rsid w:val="001910CD"/>
    <w:rsid w:val="001A2953"/>
    <w:rsid w:val="001A771A"/>
    <w:rsid w:val="001A7A68"/>
    <w:rsid w:val="001B1321"/>
    <w:rsid w:val="001B2723"/>
    <w:rsid w:val="001B27FF"/>
    <w:rsid w:val="001C24DA"/>
    <w:rsid w:val="001C29D7"/>
    <w:rsid w:val="001C2B80"/>
    <w:rsid w:val="001C3996"/>
    <w:rsid w:val="001C3AEF"/>
    <w:rsid w:val="001C577B"/>
    <w:rsid w:val="001D2D95"/>
    <w:rsid w:val="001D5B9B"/>
    <w:rsid w:val="001E1B90"/>
    <w:rsid w:val="001F0AF8"/>
    <w:rsid w:val="00205E59"/>
    <w:rsid w:val="00216BD8"/>
    <w:rsid w:val="002206D4"/>
    <w:rsid w:val="0022079F"/>
    <w:rsid w:val="002258E8"/>
    <w:rsid w:val="0022637B"/>
    <w:rsid w:val="0023046D"/>
    <w:rsid w:val="00233D7F"/>
    <w:rsid w:val="00233F90"/>
    <w:rsid w:val="002343C9"/>
    <w:rsid w:val="00237AAB"/>
    <w:rsid w:val="0024304B"/>
    <w:rsid w:val="00245B67"/>
    <w:rsid w:val="00246FE9"/>
    <w:rsid w:val="002470A2"/>
    <w:rsid w:val="00255E75"/>
    <w:rsid w:val="0026238E"/>
    <w:rsid w:val="00262586"/>
    <w:rsid w:val="00266838"/>
    <w:rsid w:val="002830B4"/>
    <w:rsid w:val="00291E1D"/>
    <w:rsid w:val="00293A0E"/>
    <w:rsid w:val="00293FA0"/>
    <w:rsid w:val="002C36C3"/>
    <w:rsid w:val="002C66EE"/>
    <w:rsid w:val="002C6AEE"/>
    <w:rsid w:val="002D4C58"/>
    <w:rsid w:val="002D7FDF"/>
    <w:rsid w:val="002F22B3"/>
    <w:rsid w:val="002F23B0"/>
    <w:rsid w:val="002F3545"/>
    <w:rsid w:val="002F41B8"/>
    <w:rsid w:val="002F528C"/>
    <w:rsid w:val="002F6F4D"/>
    <w:rsid w:val="003020E9"/>
    <w:rsid w:val="0031300A"/>
    <w:rsid w:val="00316806"/>
    <w:rsid w:val="00316EAB"/>
    <w:rsid w:val="00320D04"/>
    <w:rsid w:val="00322B3A"/>
    <w:rsid w:val="00322CBD"/>
    <w:rsid w:val="0032343E"/>
    <w:rsid w:val="00323599"/>
    <w:rsid w:val="003266FB"/>
    <w:rsid w:val="00336207"/>
    <w:rsid w:val="00344BDE"/>
    <w:rsid w:val="00362014"/>
    <w:rsid w:val="00365B28"/>
    <w:rsid w:val="003708B6"/>
    <w:rsid w:val="003824A6"/>
    <w:rsid w:val="0039181F"/>
    <w:rsid w:val="00391F65"/>
    <w:rsid w:val="003A17A1"/>
    <w:rsid w:val="003B6E4C"/>
    <w:rsid w:val="003C1D41"/>
    <w:rsid w:val="003C51F6"/>
    <w:rsid w:val="003D3D07"/>
    <w:rsid w:val="003D3DE7"/>
    <w:rsid w:val="003D4A42"/>
    <w:rsid w:val="003D7643"/>
    <w:rsid w:val="003E4E21"/>
    <w:rsid w:val="003E56AF"/>
    <w:rsid w:val="003E6647"/>
    <w:rsid w:val="003F02C6"/>
    <w:rsid w:val="003F1327"/>
    <w:rsid w:val="003F195C"/>
    <w:rsid w:val="003F3EC5"/>
    <w:rsid w:val="00401036"/>
    <w:rsid w:val="0040261B"/>
    <w:rsid w:val="00416163"/>
    <w:rsid w:val="004172DF"/>
    <w:rsid w:val="0041756F"/>
    <w:rsid w:val="00425129"/>
    <w:rsid w:val="00440750"/>
    <w:rsid w:val="00441221"/>
    <w:rsid w:val="00441327"/>
    <w:rsid w:val="00444C74"/>
    <w:rsid w:val="00446FC5"/>
    <w:rsid w:val="00447A1E"/>
    <w:rsid w:val="0045402E"/>
    <w:rsid w:val="004543B2"/>
    <w:rsid w:val="004551CB"/>
    <w:rsid w:val="004558D0"/>
    <w:rsid w:val="00463A70"/>
    <w:rsid w:val="00471685"/>
    <w:rsid w:val="00473AAC"/>
    <w:rsid w:val="00474EF0"/>
    <w:rsid w:val="004755C5"/>
    <w:rsid w:val="00483376"/>
    <w:rsid w:val="00483E50"/>
    <w:rsid w:val="004854C1"/>
    <w:rsid w:val="00495089"/>
    <w:rsid w:val="004A0125"/>
    <w:rsid w:val="004A0AAD"/>
    <w:rsid w:val="004A1C21"/>
    <w:rsid w:val="004A35BF"/>
    <w:rsid w:val="004C4D51"/>
    <w:rsid w:val="004C666F"/>
    <w:rsid w:val="004C740E"/>
    <w:rsid w:val="004D3DC4"/>
    <w:rsid w:val="004E07CB"/>
    <w:rsid w:val="004E1517"/>
    <w:rsid w:val="004E5239"/>
    <w:rsid w:val="004F187E"/>
    <w:rsid w:val="005035F6"/>
    <w:rsid w:val="00506539"/>
    <w:rsid w:val="00510AB1"/>
    <w:rsid w:val="00510B79"/>
    <w:rsid w:val="00511ED3"/>
    <w:rsid w:val="005149B3"/>
    <w:rsid w:val="00515DAF"/>
    <w:rsid w:val="0051668B"/>
    <w:rsid w:val="00520F64"/>
    <w:rsid w:val="00521F0C"/>
    <w:rsid w:val="00524499"/>
    <w:rsid w:val="00525482"/>
    <w:rsid w:val="00532E61"/>
    <w:rsid w:val="00535332"/>
    <w:rsid w:val="005414CC"/>
    <w:rsid w:val="00545954"/>
    <w:rsid w:val="005469BF"/>
    <w:rsid w:val="005476D4"/>
    <w:rsid w:val="00547BAD"/>
    <w:rsid w:val="00553574"/>
    <w:rsid w:val="00563F29"/>
    <w:rsid w:val="005652CB"/>
    <w:rsid w:val="00566E42"/>
    <w:rsid w:val="005705CB"/>
    <w:rsid w:val="005762E4"/>
    <w:rsid w:val="00576F23"/>
    <w:rsid w:val="00577B41"/>
    <w:rsid w:val="005800C0"/>
    <w:rsid w:val="0058148D"/>
    <w:rsid w:val="00583ED1"/>
    <w:rsid w:val="0058686D"/>
    <w:rsid w:val="0059096B"/>
    <w:rsid w:val="00591C24"/>
    <w:rsid w:val="00591FD3"/>
    <w:rsid w:val="005948C2"/>
    <w:rsid w:val="00595F02"/>
    <w:rsid w:val="005A025C"/>
    <w:rsid w:val="005A108E"/>
    <w:rsid w:val="005B0A1A"/>
    <w:rsid w:val="005B2A13"/>
    <w:rsid w:val="005B3D59"/>
    <w:rsid w:val="005C4F0F"/>
    <w:rsid w:val="005C55D0"/>
    <w:rsid w:val="005D0C17"/>
    <w:rsid w:val="005D31DE"/>
    <w:rsid w:val="005D63A7"/>
    <w:rsid w:val="005D70B6"/>
    <w:rsid w:val="00605344"/>
    <w:rsid w:val="00610EEF"/>
    <w:rsid w:val="00611710"/>
    <w:rsid w:val="0061591C"/>
    <w:rsid w:val="00617302"/>
    <w:rsid w:val="00620BF5"/>
    <w:rsid w:val="00622818"/>
    <w:rsid w:val="00624394"/>
    <w:rsid w:val="00635150"/>
    <w:rsid w:val="006404C4"/>
    <w:rsid w:val="00641707"/>
    <w:rsid w:val="00657BF8"/>
    <w:rsid w:val="00660C4E"/>
    <w:rsid w:val="006643AD"/>
    <w:rsid w:val="00670E6A"/>
    <w:rsid w:val="00673D38"/>
    <w:rsid w:val="0067493A"/>
    <w:rsid w:val="00674BED"/>
    <w:rsid w:val="00681709"/>
    <w:rsid w:val="00681D1D"/>
    <w:rsid w:val="006952A8"/>
    <w:rsid w:val="00696E13"/>
    <w:rsid w:val="006976A5"/>
    <w:rsid w:val="006A4081"/>
    <w:rsid w:val="006C6267"/>
    <w:rsid w:val="006C6DFF"/>
    <w:rsid w:val="006D4024"/>
    <w:rsid w:val="006D5330"/>
    <w:rsid w:val="006E1D63"/>
    <w:rsid w:val="006E2D3F"/>
    <w:rsid w:val="006F51F4"/>
    <w:rsid w:val="006F5C1F"/>
    <w:rsid w:val="007070A0"/>
    <w:rsid w:val="00707BFA"/>
    <w:rsid w:val="00721387"/>
    <w:rsid w:val="0072338B"/>
    <w:rsid w:val="0073294A"/>
    <w:rsid w:val="00737A34"/>
    <w:rsid w:val="00745C56"/>
    <w:rsid w:val="00747221"/>
    <w:rsid w:val="00763173"/>
    <w:rsid w:val="00765F34"/>
    <w:rsid w:val="00767673"/>
    <w:rsid w:val="007765BB"/>
    <w:rsid w:val="00784A5C"/>
    <w:rsid w:val="00786503"/>
    <w:rsid w:val="00787C9F"/>
    <w:rsid w:val="007914F5"/>
    <w:rsid w:val="007A0CC0"/>
    <w:rsid w:val="007A3B3C"/>
    <w:rsid w:val="007B2CED"/>
    <w:rsid w:val="007B7F47"/>
    <w:rsid w:val="007C21B1"/>
    <w:rsid w:val="007C2E74"/>
    <w:rsid w:val="007D1A0E"/>
    <w:rsid w:val="007D690D"/>
    <w:rsid w:val="007D7E86"/>
    <w:rsid w:val="007E1C62"/>
    <w:rsid w:val="007E57DF"/>
    <w:rsid w:val="007E6570"/>
    <w:rsid w:val="007F192C"/>
    <w:rsid w:val="0080246E"/>
    <w:rsid w:val="0082564E"/>
    <w:rsid w:val="008316A3"/>
    <w:rsid w:val="008325FF"/>
    <w:rsid w:val="008328E8"/>
    <w:rsid w:val="00834343"/>
    <w:rsid w:val="008411A2"/>
    <w:rsid w:val="00842130"/>
    <w:rsid w:val="00850155"/>
    <w:rsid w:val="0085395C"/>
    <w:rsid w:val="00855155"/>
    <w:rsid w:val="008613E5"/>
    <w:rsid w:val="00865403"/>
    <w:rsid w:val="00871200"/>
    <w:rsid w:val="00873A69"/>
    <w:rsid w:val="008753C3"/>
    <w:rsid w:val="0087668A"/>
    <w:rsid w:val="00876E7A"/>
    <w:rsid w:val="0088646C"/>
    <w:rsid w:val="00886B0E"/>
    <w:rsid w:val="00892E2C"/>
    <w:rsid w:val="0089324D"/>
    <w:rsid w:val="008967FF"/>
    <w:rsid w:val="008A5885"/>
    <w:rsid w:val="008B3252"/>
    <w:rsid w:val="008B54E9"/>
    <w:rsid w:val="008B68C1"/>
    <w:rsid w:val="008D39B9"/>
    <w:rsid w:val="008D3F3C"/>
    <w:rsid w:val="008E0FA2"/>
    <w:rsid w:val="008E4C0F"/>
    <w:rsid w:val="00900DE4"/>
    <w:rsid w:val="00914781"/>
    <w:rsid w:val="0092129B"/>
    <w:rsid w:val="00925B32"/>
    <w:rsid w:val="00930ADA"/>
    <w:rsid w:val="009333A9"/>
    <w:rsid w:val="00933925"/>
    <w:rsid w:val="009341A8"/>
    <w:rsid w:val="00941097"/>
    <w:rsid w:val="00954AC2"/>
    <w:rsid w:val="00954E5A"/>
    <w:rsid w:val="00955B1F"/>
    <w:rsid w:val="0096780A"/>
    <w:rsid w:val="009765F4"/>
    <w:rsid w:val="00990E0B"/>
    <w:rsid w:val="00993669"/>
    <w:rsid w:val="00994CA1"/>
    <w:rsid w:val="009A2C90"/>
    <w:rsid w:val="009A3D53"/>
    <w:rsid w:val="009A5414"/>
    <w:rsid w:val="009B1A87"/>
    <w:rsid w:val="009B6F42"/>
    <w:rsid w:val="009C1162"/>
    <w:rsid w:val="009C1720"/>
    <w:rsid w:val="009C59D4"/>
    <w:rsid w:val="009D4B0A"/>
    <w:rsid w:val="009E1709"/>
    <w:rsid w:val="009E462A"/>
    <w:rsid w:val="009F348A"/>
    <w:rsid w:val="009F3B5A"/>
    <w:rsid w:val="009F47E7"/>
    <w:rsid w:val="009F6F0F"/>
    <w:rsid w:val="00A073E5"/>
    <w:rsid w:val="00A1480A"/>
    <w:rsid w:val="00A162B2"/>
    <w:rsid w:val="00A1731E"/>
    <w:rsid w:val="00A27044"/>
    <w:rsid w:val="00A33515"/>
    <w:rsid w:val="00A427E4"/>
    <w:rsid w:val="00A474BC"/>
    <w:rsid w:val="00A522F0"/>
    <w:rsid w:val="00A55AB5"/>
    <w:rsid w:val="00A56394"/>
    <w:rsid w:val="00A623D3"/>
    <w:rsid w:val="00A712EA"/>
    <w:rsid w:val="00A73080"/>
    <w:rsid w:val="00A85884"/>
    <w:rsid w:val="00A916D1"/>
    <w:rsid w:val="00AA08C7"/>
    <w:rsid w:val="00AA2C9F"/>
    <w:rsid w:val="00AB011A"/>
    <w:rsid w:val="00AB3F80"/>
    <w:rsid w:val="00AB5DAD"/>
    <w:rsid w:val="00AC5120"/>
    <w:rsid w:val="00AD555B"/>
    <w:rsid w:val="00AE17DD"/>
    <w:rsid w:val="00AF21D5"/>
    <w:rsid w:val="00AF2DCF"/>
    <w:rsid w:val="00B0039C"/>
    <w:rsid w:val="00B018DD"/>
    <w:rsid w:val="00B06013"/>
    <w:rsid w:val="00B06614"/>
    <w:rsid w:val="00B06DA8"/>
    <w:rsid w:val="00B121A9"/>
    <w:rsid w:val="00B12B97"/>
    <w:rsid w:val="00B20122"/>
    <w:rsid w:val="00B23446"/>
    <w:rsid w:val="00B302DF"/>
    <w:rsid w:val="00B31FAB"/>
    <w:rsid w:val="00B34A3B"/>
    <w:rsid w:val="00B3643F"/>
    <w:rsid w:val="00B37D65"/>
    <w:rsid w:val="00B4276E"/>
    <w:rsid w:val="00B451CB"/>
    <w:rsid w:val="00B47CBC"/>
    <w:rsid w:val="00B50999"/>
    <w:rsid w:val="00B51072"/>
    <w:rsid w:val="00B55443"/>
    <w:rsid w:val="00B62949"/>
    <w:rsid w:val="00B62FBC"/>
    <w:rsid w:val="00B63472"/>
    <w:rsid w:val="00B670F7"/>
    <w:rsid w:val="00B76848"/>
    <w:rsid w:val="00B802A0"/>
    <w:rsid w:val="00B86566"/>
    <w:rsid w:val="00BA60B6"/>
    <w:rsid w:val="00BA7B5C"/>
    <w:rsid w:val="00BB287F"/>
    <w:rsid w:val="00BB4A1E"/>
    <w:rsid w:val="00BB5DC3"/>
    <w:rsid w:val="00BB6928"/>
    <w:rsid w:val="00BB6AC5"/>
    <w:rsid w:val="00BC3024"/>
    <w:rsid w:val="00BC6327"/>
    <w:rsid w:val="00BD15CF"/>
    <w:rsid w:val="00BD26E9"/>
    <w:rsid w:val="00BD5037"/>
    <w:rsid w:val="00BD637C"/>
    <w:rsid w:val="00BD67C8"/>
    <w:rsid w:val="00BD6F97"/>
    <w:rsid w:val="00BE0616"/>
    <w:rsid w:val="00BE4298"/>
    <w:rsid w:val="00BE6A94"/>
    <w:rsid w:val="00BF39EB"/>
    <w:rsid w:val="00BF3BBC"/>
    <w:rsid w:val="00BF3F2E"/>
    <w:rsid w:val="00BF7E2A"/>
    <w:rsid w:val="00C055B7"/>
    <w:rsid w:val="00C205CC"/>
    <w:rsid w:val="00C23B3C"/>
    <w:rsid w:val="00C25BAB"/>
    <w:rsid w:val="00C31727"/>
    <w:rsid w:val="00C5028E"/>
    <w:rsid w:val="00C52A5F"/>
    <w:rsid w:val="00C53ACC"/>
    <w:rsid w:val="00C560B4"/>
    <w:rsid w:val="00C66B21"/>
    <w:rsid w:val="00C70608"/>
    <w:rsid w:val="00C8456B"/>
    <w:rsid w:val="00C868D7"/>
    <w:rsid w:val="00CA1655"/>
    <w:rsid w:val="00CB7802"/>
    <w:rsid w:val="00CC121B"/>
    <w:rsid w:val="00CD322C"/>
    <w:rsid w:val="00CD323F"/>
    <w:rsid w:val="00CE1BC9"/>
    <w:rsid w:val="00CF3599"/>
    <w:rsid w:val="00CF7D26"/>
    <w:rsid w:val="00D0365A"/>
    <w:rsid w:val="00D04736"/>
    <w:rsid w:val="00D2314A"/>
    <w:rsid w:val="00D27DB8"/>
    <w:rsid w:val="00D301C7"/>
    <w:rsid w:val="00D32819"/>
    <w:rsid w:val="00D44BDD"/>
    <w:rsid w:val="00D4565C"/>
    <w:rsid w:val="00D5113E"/>
    <w:rsid w:val="00D54E2D"/>
    <w:rsid w:val="00D5631A"/>
    <w:rsid w:val="00D56451"/>
    <w:rsid w:val="00D56A45"/>
    <w:rsid w:val="00D61EF4"/>
    <w:rsid w:val="00D62E7C"/>
    <w:rsid w:val="00D66AB6"/>
    <w:rsid w:val="00D67732"/>
    <w:rsid w:val="00D75B65"/>
    <w:rsid w:val="00D76FCF"/>
    <w:rsid w:val="00D8031D"/>
    <w:rsid w:val="00D83E28"/>
    <w:rsid w:val="00D87B56"/>
    <w:rsid w:val="00D951A3"/>
    <w:rsid w:val="00DA0BA2"/>
    <w:rsid w:val="00DA1F16"/>
    <w:rsid w:val="00DB1F0B"/>
    <w:rsid w:val="00DB24D3"/>
    <w:rsid w:val="00DB321F"/>
    <w:rsid w:val="00DC11E7"/>
    <w:rsid w:val="00DC4591"/>
    <w:rsid w:val="00DC77E8"/>
    <w:rsid w:val="00DD1150"/>
    <w:rsid w:val="00DD3A24"/>
    <w:rsid w:val="00DE6AF8"/>
    <w:rsid w:val="00DF35F2"/>
    <w:rsid w:val="00DF410F"/>
    <w:rsid w:val="00DF4DEF"/>
    <w:rsid w:val="00E028B9"/>
    <w:rsid w:val="00E03E27"/>
    <w:rsid w:val="00E04E64"/>
    <w:rsid w:val="00E10FEF"/>
    <w:rsid w:val="00E1294D"/>
    <w:rsid w:val="00E21CAD"/>
    <w:rsid w:val="00E23D6D"/>
    <w:rsid w:val="00E30DC9"/>
    <w:rsid w:val="00E30EC3"/>
    <w:rsid w:val="00E37C47"/>
    <w:rsid w:val="00E400CD"/>
    <w:rsid w:val="00E45286"/>
    <w:rsid w:val="00E45421"/>
    <w:rsid w:val="00E5159F"/>
    <w:rsid w:val="00E56F58"/>
    <w:rsid w:val="00E66FA9"/>
    <w:rsid w:val="00E6764F"/>
    <w:rsid w:val="00E710E6"/>
    <w:rsid w:val="00E74EE4"/>
    <w:rsid w:val="00E83B15"/>
    <w:rsid w:val="00E90393"/>
    <w:rsid w:val="00E91DDF"/>
    <w:rsid w:val="00E95329"/>
    <w:rsid w:val="00EA1017"/>
    <w:rsid w:val="00EA2280"/>
    <w:rsid w:val="00EA3E6F"/>
    <w:rsid w:val="00EA5C67"/>
    <w:rsid w:val="00EB0799"/>
    <w:rsid w:val="00EB1E29"/>
    <w:rsid w:val="00EB5132"/>
    <w:rsid w:val="00EB6338"/>
    <w:rsid w:val="00EB7068"/>
    <w:rsid w:val="00EB7FD0"/>
    <w:rsid w:val="00EC0121"/>
    <w:rsid w:val="00EC3382"/>
    <w:rsid w:val="00EC4436"/>
    <w:rsid w:val="00EC5205"/>
    <w:rsid w:val="00EC6026"/>
    <w:rsid w:val="00ED0125"/>
    <w:rsid w:val="00EE2730"/>
    <w:rsid w:val="00EE6739"/>
    <w:rsid w:val="00EF24FF"/>
    <w:rsid w:val="00EF3F93"/>
    <w:rsid w:val="00EF53AC"/>
    <w:rsid w:val="00F03F31"/>
    <w:rsid w:val="00F04073"/>
    <w:rsid w:val="00F04BF5"/>
    <w:rsid w:val="00F05786"/>
    <w:rsid w:val="00F126CB"/>
    <w:rsid w:val="00F16A4F"/>
    <w:rsid w:val="00F17968"/>
    <w:rsid w:val="00F226B3"/>
    <w:rsid w:val="00F2586A"/>
    <w:rsid w:val="00F3240A"/>
    <w:rsid w:val="00F337D8"/>
    <w:rsid w:val="00F343BF"/>
    <w:rsid w:val="00F507EF"/>
    <w:rsid w:val="00F6038E"/>
    <w:rsid w:val="00F614B0"/>
    <w:rsid w:val="00F61613"/>
    <w:rsid w:val="00F6308A"/>
    <w:rsid w:val="00F66D2A"/>
    <w:rsid w:val="00F67B91"/>
    <w:rsid w:val="00F700A5"/>
    <w:rsid w:val="00F75F27"/>
    <w:rsid w:val="00F7674E"/>
    <w:rsid w:val="00F775B2"/>
    <w:rsid w:val="00F80E7C"/>
    <w:rsid w:val="00F92D0C"/>
    <w:rsid w:val="00F948F8"/>
    <w:rsid w:val="00FA0E5E"/>
    <w:rsid w:val="00FA12E8"/>
    <w:rsid w:val="00FA2161"/>
    <w:rsid w:val="00FA384C"/>
    <w:rsid w:val="00FB5C6D"/>
    <w:rsid w:val="00FB6E14"/>
    <w:rsid w:val="00FC1BEE"/>
    <w:rsid w:val="00FC4123"/>
    <w:rsid w:val="00FC7D2E"/>
    <w:rsid w:val="00FD16F5"/>
    <w:rsid w:val="00FD1AAF"/>
    <w:rsid w:val="00FE0D2D"/>
    <w:rsid w:val="00FE107E"/>
    <w:rsid w:val="00FE4E53"/>
    <w:rsid w:val="00FF1A53"/>
    <w:rsid w:val="00FF5233"/>
    <w:rsid w:val="0979219E"/>
    <w:rsid w:val="0C456841"/>
    <w:rsid w:val="0F4B0D3F"/>
    <w:rsid w:val="13DC6047"/>
    <w:rsid w:val="185C4C1A"/>
    <w:rsid w:val="19436815"/>
    <w:rsid w:val="1BB325F9"/>
    <w:rsid w:val="223E233F"/>
    <w:rsid w:val="225A1A17"/>
    <w:rsid w:val="26E47708"/>
    <w:rsid w:val="275B581B"/>
    <w:rsid w:val="2BB16709"/>
    <w:rsid w:val="2F4A3C3C"/>
    <w:rsid w:val="32F35FA8"/>
    <w:rsid w:val="34335EBC"/>
    <w:rsid w:val="37284FED"/>
    <w:rsid w:val="39D816A9"/>
    <w:rsid w:val="3FF765BE"/>
    <w:rsid w:val="40B64B14"/>
    <w:rsid w:val="41D51CA8"/>
    <w:rsid w:val="42056205"/>
    <w:rsid w:val="42F534CC"/>
    <w:rsid w:val="43BF5FAF"/>
    <w:rsid w:val="4C7859BC"/>
    <w:rsid w:val="4C81084D"/>
    <w:rsid w:val="58AB7B2A"/>
    <w:rsid w:val="608E6DA8"/>
    <w:rsid w:val="6B455246"/>
    <w:rsid w:val="6D36292E"/>
    <w:rsid w:val="7A465E0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qFormat="1" w:uiPriority="99" w:semiHidden="0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0" w:line="240" w:lineRule="auto"/>
      <w:ind w:firstLine="709"/>
      <w:jc w:val="both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paragraph" w:styleId="2">
    <w:name w:val="heading 1"/>
    <w:basedOn w:val="1"/>
    <w:next w:val="1"/>
    <w:link w:val="15"/>
    <w:qFormat/>
    <w:uiPriority w:val="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2F5597" w:themeColor="accent1" w:themeShade="BF"/>
      <w:sz w:val="28"/>
      <w:szCs w:val="28"/>
    </w:rPr>
  </w:style>
  <w:style w:type="paragraph" w:styleId="3">
    <w:name w:val="heading 2"/>
    <w:basedOn w:val="1"/>
    <w:next w:val="1"/>
    <w:link w:val="20"/>
    <w:unhideWhenUsed/>
    <w:qFormat/>
    <w:uiPriority w:val="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472C4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4">
    <w:name w:val="heading 3"/>
    <w:basedOn w:val="1"/>
    <w:next w:val="1"/>
    <w:link w:val="35"/>
    <w:semiHidden/>
    <w:unhideWhenUsed/>
    <w:qFormat/>
    <w:uiPriority w:val="9"/>
    <w:pPr>
      <w:keepNext/>
      <w:keepLines/>
      <w:spacing w:before="40"/>
      <w:outlineLvl w:val="2"/>
    </w:pPr>
    <w:rPr>
      <w:rFonts w:asciiTheme="majorHAnsi" w:hAnsiTheme="majorHAnsi" w:eastAsiaTheme="majorEastAsia" w:cstheme="majorBidi"/>
      <w:color w:val="203864" w:themeColor="accent1" w:themeShade="80"/>
      <w:sz w:val="24"/>
      <w:szCs w:val="24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TML Acronym"/>
    <w:basedOn w:val="5"/>
    <w:unhideWhenUsed/>
    <w:qFormat/>
    <w:uiPriority w:val="99"/>
    <w:rPr>
      <w:shd w:val="clear" w:color="auto" w:fill="FFFF00"/>
    </w:rPr>
  </w:style>
  <w:style w:type="character" w:styleId="8">
    <w:name w:val="Hyperlink"/>
    <w:basedOn w:val="5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styleId="9">
    <w:name w:val="Balloon Text"/>
    <w:basedOn w:val="1"/>
    <w:link w:val="19"/>
    <w:semiHidden/>
    <w:unhideWhenUsed/>
    <w:qFormat/>
    <w:uiPriority w:val="99"/>
    <w:rPr>
      <w:rFonts w:ascii="Segoe UI" w:hAnsi="Segoe UI" w:cs="Segoe UI"/>
      <w:sz w:val="18"/>
      <w:szCs w:val="18"/>
    </w:rPr>
  </w:style>
  <w:style w:type="paragraph" w:styleId="10">
    <w:name w:val="header"/>
    <w:basedOn w:val="1"/>
    <w:link w:val="40"/>
    <w:unhideWhenUsed/>
    <w:qFormat/>
    <w:uiPriority w:val="99"/>
    <w:pPr>
      <w:tabs>
        <w:tab w:val="center" w:pos="4677"/>
        <w:tab w:val="right" w:pos="9355"/>
      </w:tabs>
    </w:pPr>
  </w:style>
  <w:style w:type="paragraph" w:styleId="11">
    <w:name w:val="Title"/>
    <w:basedOn w:val="1"/>
    <w:next w:val="1"/>
    <w:link w:val="32"/>
    <w:qFormat/>
    <w:uiPriority w:val="10"/>
    <w:pPr>
      <w:pBdr>
        <w:bottom w:val="single" w:color="4472C4" w:themeColor="accent1" w:sz="8" w:space="4"/>
      </w:pBdr>
      <w:spacing w:after="300"/>
      <w:ind w:firstLine="0"/>
      <w:contextualSpacing/>
    </w:pPr>
    <w:rPr>
      <w:rFonts w:asciiTheme="majorHAnsi" w:hAnsiTheme="majorHAnsi" w:eastAsiaTheme="majorEastAsia" w:cstheme="majorBidi"/>
      <w:color w:val="333F50" w:themeColor="text2" w:themeShade="BF"/>
      <w:spacing w:val="5"/>
      <w:kern w:val="28"/>
      <w:sz w:val="52"/>
      <w:szCs w:val="52"/>
      <w:lang w:val="en-US" w:bidi="en-US"/>
    </w:rPr>
  </w:style>
  <w:style w:type="paragraph" w:styleId="12">
    <w:name w:val="footer"/>
    <w:basedOn w:val="1"/>
    <w:link w:val="41"/>
    <w:unhideWhenUsed/>
    <w:qFormat/>
    <w:uiPriority w:val="99"/>
    <w:pPr>
      <w:tabs>
        <w:tab w:val="center" w:pos="4677"/>
        <w:tab w:val="right" w:pos="9355"/>
      </w:tabs>
    </w:pPr>
  </w:style>
  <w:style w:type="paragraph" w:styleId="13">
    <w:name w:val="Normal (Web)"/>
    <w:basedOn w:val="1"/>
    <w:unhideWhenUsed/>
    <w:qFormat/>
    <w:uiPriority w:val="99"/>
    <w:pPr>
      <w:spacing w:before="100" w:beforeAutospacing="1" w:after="100" w:afterAutospacing="1"/>
      <w:ind w:firstLine="0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table" w:styleId="14">
    <w:name w:val="Table Grid"/>
    <w:basedOn w:val="6"/>
    <w:qFormat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customStyle="1" w:styleId="15">
    <w:name w:val="Заголовок 1 Знак"/>
    <w:basedOn w:val="5"/>
    <w:link w:val="2"/>
    <w:qFormat/>
    <w:uiPriority w:val="9"/>
    <w:rPr>
      <w:rFonts w:asciiTheme="majorHAnsi" w:hAnsiTheme="majorHAnsi" w:eastAsiaTheme="majorEastAsia" w:cstheme="majorBidi"/>
      <w:b/>
      <w:bCs/>
      <w:color w:val="2F5597" w:themeColor="accent1" w:themeShade="BF"/>
      <w:sz w:val="28"/>
      <w:szCs w:val="28"/>
      <w:lang w:val="ru-RU"/>
    </w:rPr>
  </w:style>
  <w:style w:type="paragraph" w:customStyle="1" w:styleId="16">
    <w:name w:val="newncpi"/>
    <w:basedOn w:val="1"/>
    <w:qFormat/>
    <w:uiPriority w:val="0"/>
    <w:pPr>
      <w:spacing w:before="160" w:after="160"/>
      <w:ind w:firstLine="567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customStyle="1" w:styleId="17">
    <w:name w:val="newncpi0"/>
    <w:basedOn w:val="1"/>
    <w:qFormat/>
    <w:uiPriority w:val="99"/>
    <w:pPr>
      <w:ind w:firstLine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customStyle="1" w:styleId="18">
    <w:name w:val="table10"/>
    <w:basedOn w:val="1"/>
    <w:qFormat/>
    <w:uiPriority w:val="0"/>
    <w:pPr>
      <w:ind w:firstLine="0"/>
      <w:jc w:val="left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customStyle="1" w:styleId="19">
    <w:name w:val="Текст выноски Знак"/>
    <w:basedOn w:val="5"/>
    <w:link w:val="9"/>
    <w:semiHidden/>
    <w:qFormat/>
    <w:uiPriority w:val="99"/>
    <w:rPr>
      <w:rFonts w:ascii="Segoe UI" w:hAnsi="Segoe UI" w:cs="Segoe UI"/>
      <w:sz w:val="18"/>
      <w:szCs w:val="18"/>
      <w:lang w:val="ru-RU"/>
    </w:rPr>
  </w:style>
  <w:style w:type="character" w:customStyle="1" w:styleId="20">
    <w:name w:val="Заголовок 2 Знак"/>
    <w:basedOn w:val="5"/>
    <w:link w:val="3"/>
    <w:qFormat/>
    <w:uiPriority w:val="9"/>
    <w:rPr>
      <w:rFonts w:asciiTheme="majorHAnsi" w:hAnsiTheme="majorHAnsi" w:eastAsiaTheme="majorEastAsia" w:cstheme="majorBidi"/>
      <w:b/>
      <w:bCs/>
      <w:color w:val="4472C4" w:themeColor="accent1"/>
      <w:sz w:val="26"/>
      <w:szCs w:val="26"/>
      <w14:textFill>
        <w14:solidFill>
          <w14:schemeClr w14:val="accent1"/>
        </w14:solidFill>
      </w14:textFill>
    </w:rPr>
  </w:style>
  <w:style w:type="paragraph" w:customStyle="1" w:styleId="21">
    <w:name w:val="ConsPlusNonformat"/>
    <w:qFormat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eastAsia="Times New Roman" w:cs="Courier New"/>
      <w:sz w:val="20"/>
      <w:szCs w:val="20"/>
      <w:lang w:val="ru-RU" w:eastAsia="ru-RU" w:bidi="ar-SA"/>
    </w:rPr>
  </w:style>
  <w:style w:type="paragraph" w:customStyle="1" w:styleId="22">
    <w:name w:val="justify"/>
    <w:basedOn w:val="1"/>
    <w:qFormat/>
    <w:uiPriority w:val="0"/>
    <w:pPr>
      <w:spacing w:after="160"/>
      <w:ind w:firstLine="567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customStyle="1" w:styleId="23">
    <w:name w:val="a0"/>
    <w:basedOn w:val="1"/>
    <w:semiHidden/>
    <w:qFormat/>
    <w:uiPriority w:val="99"/>
    <w:pPr>
      <w:spacing w:after="160"/>
      <w:ind w:firstLine="0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customStyle="1" w:styleId="24">
    <w:name w:val="ConsPlusCell"/>
    <w:qFormat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eastAsia="Times New Roman" w:cs="Arial"/>
      <w:sz w:val="20"/>
      <w:szCs w:val="20"/>
      <w:lang w:val="ru-RU" w:eastAsia="ru-RU" w:bidi="ar-SA"/>
    </w:rPr>
  </w:style>
  <w:style w:type="paragraph" w:customStyle="1" w:styleId="25">
    <w:name w:val="ConsPlusNormal"/>
    <w:qFormat/>
    <w:uiPriority w:val="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 w:eastAsiaTheme="minorEastAsia"/>
      <w:sz w:val="20"/>
      <w:szCs w:val="20"/>
      <w:lang w:val="ru-RU" w:eastAsia="ru-RU" w:bidi="ar-SA"/>
    </w:rPr>
  </w:style>
  <w:style w:type="paragraph" w:customStyle="1" w:styleId="26">
    <w:name w:val="ConsNonformat"/>
    <w:qFormat/>
    <w:uiPriority w:val="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eastAsia="Times New Roman" w:cs="Courier New"/>
      <w:sz w:val="22"/>
      <w:szCs w:val="22"/>
      <w:lang w:val="ru-RU" w:eastAsia="ru-RU" w:bidi="ar-SA"/>
    </w:rPr>
  </w:style>
  <w:style w:type="character" w:customStyle="1" w:styleId="27">
    <w:name w:val="Основной текст_"/>
    <w:link w:val="28"/>
    <w:qFormat/>
    <w:uiPriority w:val="0"/>
    <w:rPr>
      <w:rFonts w:ascii="Times New Roman" w:hAnsi="Times New Roman" w:eastAsia="Times New Roman"/>
      <w:shd w:val="clear" w:color="auto" w:fill="FFFFFF"/>
    </w:rPr>
  </w:style>
  <w:style w:type="paragraph" w:customStyle="1" w:styleId="28">
    <w:name w:val="Основной текст7"/>
    <w:basedOn w:val="1"/>
    <w:link w:val="27"/>
    <w:qFormat/>
    <w:uiPriority w:val="0"/>
    <w:pPr>
      <w:widowControl w:val="0"/>
      <w:shd w:val="clear" w:color="auto" w:fill="FFFFFF"/>
      <w:spacing w:line="235" w:lineRule="exact"/>
      <w:ind w:firstLine="0"/>
    </w:pPr>
    <w:rPr>
      <w:rFonts w:ascii="Times New Roman" w:hAnsi="Times New Roman" w:eastAsia="Times New Roman"/>
    </w:rPr>
  </w:style>
  <w:style w:type="character" w:customStyle="1" w:styleId="29">
    <w:name w:val="Основной текст1"/>
    <w:qFormat/>
    <w:uiPriority w:val="0"/>
    <w:rPr>
      <w:rFonts w:ascii="Times New Roman" w:hAnsi="Times New Roman" w:eastAsia="Times New Roman"/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30">
    <w:name w:val="h"/>
    <w:basedOn w:val="5"/>
    <w:qFormat/>
    <w:uiPriority w:val="0"/>
  </w:style>
  <w:style w:type="character" w:customStyle="1" w:styleId="31">
    <w:name w:val="apple-converted-space"/>
    <w:basedOn w:val="5"/>
    <w:qFormat/>
    <w:uiPriority w:val="0"/>
  </w:style>
  <w:style w:type="character" w:customStyle="1" w:styleId="32">
    <w:name w:val="Название Знак"/>
    <w:basedOn w:val="5"/>
    <w:link w:val="11"/>
    <w:qFormat/>
    <w:uiPriority w:val="10"/>
    <w:rPr>
      <w:rFonts w:asciiTheme="majorHAnsi" w:hAnsiTheme="majorHAnsi" w:eastAsiaTheme="majorEastAsia" w:cstheme="majorBidi"/>
      <w:color w:val="333F50" w:themeColor="text2" w:themeShade="BF"/>
      <w:spacing w:val="5"/>
      <w:kern w:val="28"/>
      <w:sz w:val="52"/>
      <w:szCs w:val="52"/>
      <w:lang w:val="en-US" w:bidi="en-US"/>
    </w:rPr>
  </w:style>
  <w:style w:type="character" w:customStyle="1" w:styleId="33">
    <w:name w:val="iceouttxt"/>
    <w:basedOn w:val="5"/>
    <w:qFormat/>
    <w:uiPriority w:val="0"/>
  </w:style>
  <w:style w:type="paragraph" w:styleId="34">
    <w:name w:val="List Paragraph"/>
    <w:basedOn w:val="1"/>
    <w:qFormat/>
    <w:uiPriority w:val="34"/>
    <w:pPr>
      <w:spacing w:after="200" w:line="276" w:lineRule="auto"/>
      <w:ind w:left="720" w:firstLine="0"/>
      <w:contextualSpacing/>
      <w:jc w:val="left"/>
    </w:pPr>
    <w:rPr>
      <w:rFonts w:eastAsiaTheme="minorEastAsia"/>
      <w:lang w:eastAsia="ru-RU"/>
    </w:rPr>
  </w:style>
  <w:style w:type="character" w:customStyle="1" w:styleId="35">
    <w:name w:val="Заголовок 3 Знак"/>
    <w:basedOn w:val="5"/>
    <w:link w:val="4"/>
    <w:semiHidden/>
    <w:qFormat/>
    <w:uiPriority w:val="9"/>
    <w:rPr>
      <w:rFonts w:asciiTheme="majorHAnsi" w:hAnsiTheme="majorHAnsi" w:eastAsiaTheme="majorEastAsia" w:cstheme="majorBidi"/>
      <w:color w:val="203864" w:themeColor="accent1" w:themeShade="80"/>
      <w:sz w:val="24"/>
      <w:szCs w:val="24"/>
    </w:rPr>
  </w:style>
  <w:style w:type="character" w:customStyle="1" w:styleId="36">
    <w:name w:val="Подпись к таблице (2)_"/>
    <w:basedOn w:val="5"/>
    <w:link w:val="37"/>
    <w:qFormat/>
    <w:uiPriority w:val="0"/>
    <w:rPr>
      <w:sz w:val="27"/>
      <w:szCs w:val="27"/>
      <w:shd w:val="clear" w:color="auto" w:fill="FFFFFF"/>
    </w:rPr>
  </w:style>
  <w:style w:type="paragraph" w:customStyle="1" w:styleId="37">
    <w:name w:val="Подпись к таблице (2)"/>
    <w:basedOn w:val="1"/>
    <w:link w:val="36"/>
    <w:qFormat/>
    <w:uiPriority w:val="0"/>
    <w:pPr>
      <w:widowControl w:val="0"/>
      <w:shd w:val="clear" w:color="auto" w:fill="FFFFFF"/>
      <w:spacing w:line="0" w:lineRule="atLeast"/>
      <w:ind w:firstLine="0"/>
      <w:jc w:val="left"/>
    </w:pPr>
    <w:rPr>
      <w:sz w:val="27"/>
      <w:szCs w:val="27"/>
    </w:rPr>
  </w:style>
  <w:style w:type="paragraph" w:styleId="38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ru-RU" w:eastAsia="ru-RU" w:bidi="ar-SA"/>
    </w:rPr>
  </w:style>
  <w:style w:type="paragraph" w:customStyle="1" w:styleId="39">
    <w:name w:val="Основной текст2"/>
    <w:basedOn w:val="1"/>
    <w:qFormat/>
    <w:uiPriority w:val="0"/>
    <w:pPr>
      <w:widowControl w:val="0"/>
      <w:shd w:val="clear" w:color="auto" w:fill="FFFFFF"/>
      <w:spacing w:before="540" w:line="322" w:lineRule="exact"/>
      <w:ind w:hanging="440"/>
      <w:jc w:val="left"/>
    </w:pPr>
    <w:rPr>
      <w:rFonts w:ascii="Times New Roman" w:hAnsi="Times New Roman" w:eastAsia="Times New Roman" w:cs="Times New Roman"/>
      <w:color w:val="000000"/>
      <w:sz w:val="27"/>
      <w:szCs w:val="27"/>
      <w:lang w:eastAsia="ru-RU"/>
    </w:rPr>
  </w:style>
  <w:style w:type="character" w:customStyle="1" w:styleId="40">
    <w:name w:val="Верхний колонтитул Знак"/>
    <w:basedOn w:val="5"/>
    <w:link w:val="10"/>
    <w:qFormat/>
    <w:uiPriority w:val="99"/>
  </w:style>
  <w:style w:type="character" w:customStyle="1" w:styleId="41">
    <w:name w:val="Нижний колонтитул Знак"/>
    <w:basedOn w:val="5"/>
    <w:link w:val="12"/>
    <w:qFormat/>
    <w:uiPriority w:val="99"/>
  </w:style>
  <w:style w:type="paragraph" w:customStyle="1" w:styleId="42">
    <w:name w:val="p-normal"/>
    <w:basedOn w:val="1"/>
    <w:qFormat/>
    <w:uiPriority w:val="0"/>
    <w:pPr>
      <w:spacing w:before="100" w:beforeAutospacing="1" w:after="100" w:afterAutospacing="1"/>
      <w:ind w:firstLine="0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B5E46A-25E7-4102-BF53-61A5BD3818F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Grizli777</Company>
  <Pages>5</Pages>
  <Words>1430</Words>
  <Characters>10548</Characters>
  <Lines>83</Lines>
  <Paragraphs>23</Paragraphs>
  <TotalTime>0</TotalTime>
  <ScaleCrop>false</ScaleCrop>
  <LinksUpToDate>false</LinksUpToDate>
  <CharactersWithSpaces>12019</CharactersWithSpaces>
  <Application>WPS Office_12.1.0.28032_F1E327BC-269C-435d-A152-05C5408002CA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2025-02-04T06:40:00Z</dcterms:created>
  <dc:creator>User2</dc:creator>
  <cp:lastModifiedBy>Goga Pipa</cp:lastModifiedBy>
  <cp:lastPrinted>2026-08-13T13:30:00Z</cp:lastPrinted>
  <dcterms:modified xsi:type="dcterms:W3CDTF">2026-08-13T14:29:37Z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1049-12.1.0.28032</vt:lpwstr>
  </property>
  <property fmtid="{D5CDD505-2E9C-101B-9397-08002B2CF9AE}" pid="3" name="ICV">
    <vt:lpwstr>5FD39F4308A540EAA6ED2A107300D5E6_12</vt:lpwstr>
  </property>
  <property fmtid="{D5CDD505-2E9C-101B-9397-08002B2CF9AE}" pid="4" name="KSOTemplateDocerSaveRecord">
    <vt:lpwstr>eyJoZGlkIjoiNGJlMzlhMDNiNWY4OTkzMWQ2ZDEwNjEwOTJiMDVkM2UiLCJ1c2VySWQiOiI3NTc2ODYyNTk1Mzc1In0=</vt:lpwstr>
  </property>
</Properties>
</file>