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F1C3F1">
      <w:pPr>
        <w:pStyle w:val="4"/>
        <w:ind w:left="0" w:firstLine="0"/>
      </w:pPr>
    </w:p>
    <w:tbl>
      <w:tblPr>
        <w:tblStyle w:val="20"/>
        <w:tblW w:w="3790" w:type="dxa"/>
        <w:tblInd w:w="694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90"/>
      </w:tblGrid>
      <w:tr w14:paraId="30066D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6" w:hRule="atLeast"/>
        </w:trPr>
        <w:tc>
          <w:tcPr>
            <w:tcW w:w="3790" w:type="dxa"/>
          </w:tcPr>
          <w:p w14:paraId="445605A7">
            <w:pPr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УТВЕРЖДАЮ</w:t>
            </w:r>
          </w:p>
          <w:p w14:paraId="7AE4DF54">
            <w:pPr>
              <w:rPr>
                <w:rFonts w:hint="default" w:eastAsia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Директор </w:t>
            </w:r>
            <w:r>
              <w:rPr>
                <w:rFonts w:eastAsia="Times New Roman" w:cs="Times New Roman"/>
                <w:sz w:val="26"/>
                <w:szCs w:val="26"/>
                <w:lang w:val="ru-RU"/>
              </w:rPr>
              <w:t>ОАО</w:t>
            </w:r>
            <w:r>
              <w:rPr>
                <w:rFonts w:hint="default" w:eastAsia="Times New Roman" w:cs="Times New Roman"/>
                <w:sz w:val="26"/>
                <w:szCs w:val="26"/>
                <w:lang w:val="ru-RU"/>
              </w:rPr>
              <w:t xml:space="preserve"> «Тираспольский агротехсервис»</w:t>
            </w:r>
          </w:p>
          <w:p w14:paraId="0D7DE359">
            <w:pPr>
              <w:rPr>
                <w:rFonts w:hint="default" w:eastAsia="Times New Roman" w:cs="Times New Roman"/>
                <w:sz w:val="26"/>
                <w:szCs w:val="26"/>
                <w:lang w:val="ru-RU"/>
              </w:rPr>
            </w:pPr>
            <w:r>
              <w:rPr>
                <w:rFonts w:hint="default" w:eastAsia="Times New Roman" w:cs="Times New Roman"/>
                <w:sz w:val="26"/>
                <w:szCs w:val="26"/>
                <w:lang w:val="ru-RU"/>
              </w:rPr>
              <w:t xml:space="preserve">                               Д.И.Жигунов</w:t>
            </w:r>
          </w:p>
          <w:p w14:paraId="26A556FA">
            <w:pPr>
              <w:jc w:val="both"/>
              <w:rPr>
                <w:rFonts w:ascii="Times New Roman" w:hAnsi="Times New Roman" w:cs="Times New Roman" w:eastAsiaTheme="minorEastAsia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1</w:t>
            </w:r>
            <w:r>
              <w:rPr>
                <w:rFonts w:hint="default" w:eastAsia="Times New Roman" w:cs="Times New Roman"/>
                <w:sz w:val="26"/>
                <w:szCs w:val="26"/>
                <w:lang w:val="ru-RU"/>
              </w:rPr>
              <w:t>2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.08.2026</w:t>
            </w:r>
          </w:p>
        </w:tc>
      </w:tr>
    </w:tbl>
    <w:p w14:paraId="2190DC17">
      <w:pPr>
        <w:jc w:val="center"/>
        <w:rPr>
          <w:sz w:val="24"/>
          <w:szCs w:val="24"/>
        </w:rPr>
      </w:pPr>
      <w:r>
        <w:rPr>
          <w:sz w:val="24"/>
          <w:szCs w:val="24"/>
        </w:rPr>
        <w:t>ЗАПРОС</w:t>
      </w:r>
    </w:p>
    <w:p w14:paraId="4D581A39">
      <w:pPr>
        <w:jc w:val="center"/>
        <w:rPr>
          <w:sz w:val="24"/>
          <w:szCs w:val="24"/>
        </w:rPr>
      </w:pPr>
      <w:r>
        <w:rPr>
          <w:sz w:val="24"/>
          <w:szCs w:val="24"/>
        </w:rPr>
        <w:t>о предоставлении сведений в целях изучения конъюнктуры рынка</w:t>
      </w:r>
    </w:p>
    <w:p w14:paraId="46C61378">
      <w:pPr>
        <w:jc w:val="center"/>
        <w:rPr>
          <w:sz w:val="24"/>
          <w:szCs w:val="24"/>
        </w:rPr>
      </w:pPr>
      <w:r>
        <w:rPr>
          <w:sz w:val="24"/>
          <w:szCs w:val="24"/>
        </w:rPr>
        <w:t>для проведения процедуры закупки из одного источника</w:t>
      </w:r>
    </w:p>
    <w:p w14:paraId="567D6C5F">
      <w:pPr>
        <w:jc w:val="center"/>
        <w:rPr>
          <w:sz w:val="24"/>
          <w:szCs w:val="24"/>
        </w:rPr>
      </w:pPr>
    </w:p>
    <w:p w14:paraId="4B200FBB">
      <w:pPr>
        <w:jc w:val="both"/>
        <w:rPr>
          <w:rFonts w:hint="default"/>
          <w:b/>
          <w:bCs/>
          <w:sz w:val="24"/>
          <w:szCs w:val="24"/>
          <w:lang w:val="ru-RU"/>
        </w:rPr>
      </w:pPr>
      <w:r>
        <w:rPr>
          <w:sz w:val="24"/>
          <w:szCs w:val="24"/>
        </w:rPr>
        <w:t>Название процедуры закупки: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  <w:lang w:val="ru-RU"/>
        </w:rPr>
        <w:t>Спецодежда</w:t>
      </w:r>
    </w:p>
    <w:p w14:paraId="7B112E64">
      <w:pPr>
        <w:jc w:val="center"/>
        <w:rPr>
          <w:sz w:val="24"/>
          <w:szCs w:val="24"/>
        </w:rPr>
      </w:pPr>
    </w:p>
    <w:tbl>
      <w:tblPr>
        <w:tblStyle w:val="20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3"/>
        <w:gridCol w:w="5837"/>
      </w:tblGrid>
      <w:tr w14:paraId="11E284D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0" w:type="dxa"/>
            <w:gridSpan w:val="2"/>
          </w:tcPr>
          <w:p w14:paraId="5CCF259B">
            <w:pPr>
              <w:jc w:val="center"/>
              <w:rPr>
                <w:rFonts w:ascii="Times New Roman" w:hAnsi="Times New Roman" w:eastAsia="SimSu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b/>
                <w:sz w:val="24"/>
                <w:szCs w:val="24"/>
              </w:rPr>
              <w:t>I. Сведения о виде процедуры закупки</w:t>
            </w:r>
          </w:p>
        </w:tc>
      </w:tr>
      <w:tr w14:paraId="20C0448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3" w:type="dxa"/>
          </w:tcPr>
          <w:p w14:paraId="3A0F54FF">
            <w:pPr>
              <w:rPr>
                <w:rFonts w:ascii="Times New Roman" w:hAnsi="Times New Roman" w:eastAsia="SimSu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bCs/>
                <w:sz w:val="24"/>
                <w:szCs w:val="24"/>
              </w:rPr>
              <w:t xml:space="preserve">Вид процедуры закупки </w:t>
            </w:r>
          </w:p>
        </w:tc>
        <w:tc>
          <w:tcPr>
            <w:tcW w:w="5837" w:type="dxa"/>
          </w:tcPr>
          <w:p w14:paraId="793C7E25">
            <w:pPr>
              <w:jc w:val="both"/>
              <w:rPr>
                <w:rFonts w:ascii="Times New Roman" w:hAnsi="Times New Roman" w:eastAsia="SimSu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bCs/>
                <w:sz w:val="24"/>
                <w:szCs w:val="24"/>
              </w:rPr>
              <w:t xml:space="preserve">Процедура закупки из одного источника </w:t>
            </w:r>
          </w:p>
        </w:tc>
      </w:tr>
      <w:tr w14:paraId="7F8BE85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3" w:type="dxa"/>
          </w:tcPr>
          <w:p w14:paraId="0B11EF40">
            <w:pPr>
              <w:jc w:val="both"/>
              <w:rPr>
                <w:rFonts w:ascii="Times New Roman" w:hAnsi="Times New Roman" w:cs="Times New Roman" w:eastAsiaTheme="minorEastAsia"/>
                <w:b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bCs/>
                <w:sz w:val="24"/>
                <w:szCs w:val="24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5837" w:type="dxa"/>
          </w:tcPr>
          <w:p w14:paraId="70EE01EF">
            <w:pPr>
              <w:jc w:val="both"/>
              <w:rPr>
                <w:rFonts w:ascii="Times New Roman" w:hAnsi="Times New Roman" w:eastAsia="SimSu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bCs/>
                <w:sz w:val="24"/>
                <w:szCs w:val="24"/>
              </w:rPr>
              <w:t xml:space="preserve">пункт 9 приложения 4 к Положению о порядке осуществления закупок товаров (работ, услуг) за счет </w:t>
            </w:r>
          </w:p>
          <w:p w14:paraId="4A14158F">
            <w:pPr>
              <w:jc w:val="both"/>
              <w:rPr>
                <w:rFonts w:ascii="Times New Roman" w:hAnsi="Times New Roman" w:cs="Times New Roman" w:eastAsiaTheme="minorEastAsia"/>
                <w:b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bCs/>
                <w:sz w:val="24"/>
                <w:szCs w:val="24"/>
              </w:rPr>
              <w:t>собственных средств, утвержденному</w:t>
            </w:r>
            <w:r>
              <w:rPr>
                <w:rFonts w:ascii="Times New Roman" w:hAnsi="Times New Roman" w:cs="Times New Roman" w:eastAsiaTheme="minorEastAsia"/>
                <w:sz w:val="22"/>
                <w:szCs w:val="22"/>
              </w:rPr>
              <w:t xml:space="preserve"> п</w:t>
            </w:r>
            <w:r>
              <w:rPr>
                <w:rFonts w:ascii="Times New Roman" w:hAnsi="Times New Roman" w:eastAsia="SimSun" w:cs="Times New Roman"/>
                <w:bCs/>
                <w:sz w:val="24"/>
                <w:szCs w:val="24"/>
              </w:rPr>
              <w:t>остановлением Совета Министров Республики Беларусь от 7 апреля 2026 г. № 168</w:t>
            </w:r>
            <w:r>
              <w:rPr>
                <w:rFonts w:asciiTheme="minorHAnsi" w:hAnsiTheme="minorHAnsi" w:eastAsiaTheme="minorEastAsia" w:cstheme="minorBidi"/>
                <w:sz w:val="22"/>
                <w:szCs w:val="22"/>
              </w:rPr>
              <w:t xml:space="preserve"> «</w:t>
            </w:r>
            <w:r>
              <w:rPr>
                <w:rFonts w:ascii="Times New Roman" w:hAnsi="Times New Roman" w:eastAsia="SimSun" w:cs="Times New Roman"/>
                <w:bCs/>
                <w:sz w:val="24"/>
                <w:szCs w:val="24"/>
              </w:rPr>
              <w:t>О порядке осуществления закупок товаров (работ, услуг) за счет собственных средств» (далее – постановление № 168)</w:t>
            </w:r>
          </w:p>
        </w:tc>
      </w:tr>
      <w:tr w14:paraId="647AB65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0" w:type="dxa"/>
            <w:gridSpan w:val="2"/>
          </w:tcPr>
          <w:p w14:paraId="509AFA21">
            <w:pPr>
              <w:jc w:val="center"/>
              <w:rPr>
                <w:rFonts w:ascii="Times New Roman" w:hAnsi="Times New Roman" w:eastAsia="SimSu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b/>
                <w:sz w:val="24"/>
                <w:szCs w:val="24"/>
              </w:rPr>
              <w:t>II. Сведения о заказчике</w:t>
            </w:r>
          </w:p>
        </w:tc>
      </w:tr>
      <w:tr w14:paraId="5416630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3" w:type="dxa"/>
          </w:tcPr>
          <w:p w14:paraId="52B19566">
            <w:pPr>
              <w:jc w:val="both"/>
              <w:rPr>
                <w:rFonts w:ascii="Times New Roman" w:hAnsi="Times New Roman" w:eastAsia="SimSu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bCs/>
                <w:sz w:val="24"/>
                <w:szCs w:val="24"/>
              </w:rPr>
              <w:t>Наименование (фамилия, собственное имя, отчество (если таковое имеется) – для индивидуального предпринимателя)</w:t>
            </w:r>
          </w:p>
        </w:tc>
        <w:tc>
          <w:tcPr>
            <w:tcW w:w="5837" w:type="dxa"/>
          </w:tcPr>
          <w:p w14:paraId="01BD3E94">
            <w:pPr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bCs/>
                <w:sz w:val="24"/>
                <w:szCs w:val="24"/>
                <w:lang w:val="ru-RU"/>
              </w:rPr>
              <w:t>ОАО</w:t>
            </w:r>
            <w:r>
              <w:rPr>
                <w:rFonts w:hint="default" w:cs="Times New Roman"/>
                <w:bCs/>
                <w:sz w:val="24"/>
                <w:szCs w:val="24"/>
                <w:lang w:val="ru-RU"/>
              </w:rPr>
              <w:t xml:space="preserve"> «Тираспольский агротехсервис»</w:t>
            </w:r>
          </w:p>
        </w:tc>
      </w:tr>
      <w:tr w14:paraId="46209CC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3" w:type="dxa"/>
          </w:tcPr>
          <w:p w14:paraId="79E28E70">
            <w:pPr>
              <w:jc w:val="both"/>
              <w:rPr>
                <w:rFonts w:ascii="Times New Roman" w:hAnsi="Times New Roman" w:eastAsia="SimSu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bCs/>
                <w:sz w:val="24"/>
                <w:szCs w:val="24"/>
              </w:rPr>
              <w:t>Место нахождения (место жительства)</w:t>
            </w:r>
          </w:p>
        </w:tc>
        <w:tc>
          <w:tcPr>
            <w:tcW w:w="5837" w:type="dxa"/>
          </w:tcPr>
          <w:p w14:paraId="037F4FAF">
            <w:pPr>
              <w:spacing w:line="259" w:lineRule="auto"/>
              <w:jc w:val="both"/>
              <w:rPr>
                <w:rFonts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cs="Times New Roman"/>
                <w:sz w:val="24"/>
                <w:szCs w:val="24"/>
                <w:lang w:val="ru-RU"/>
              </w:rPr>
              <w:t xml:space="preserve">210034, г. Витебск, ул. Ленинградская, 136 </w:t>
            </w:r>
            <w:r>
              <w:rPr>
                <w:rFonts w:ascii="Times New Roman" w:hAnsi="Times New Roman" w:eastAsia="SimSun" w:cs="Times New Roman"/>
                <w:sz w:val="24"/>
                <w:szCs w:val="24"/>
              </w:rPr>
              <w:t xml:space="preserve"> </w:t>
            </w:r>
          </w:p>
        </w:tc>
      </w:tr>
      <w:tr w14:paraId="2773BB0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3" w:type="dxa"/>
          </w:tcPr>
          <w:p w14:paraId="6C2A6A15">
            <w:pPr>
              <w:jc w:val="both"/>
              <w:rPr>
                <w:rFonts w:ascii="Times New Roman" w:hAnsi="Times New Roman" w:eastAsia="SimSu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bCs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5837" w:type="dxa"/>
          </w:tcPr>
          <w:p w14:paraId="32349CE5">
            <w:pPr>
              <w:rPr>
                <w:rFonts w:hint="default" w:ascii="Times New Roman" w:hAnsi="Times New Roman" w:eastAsia="SimSun" w:cs="Times New Roman"/>
                <w:sz w:val="24"/>
                <w:szCs w:val="24"/>
                <w:lang w:val="ru-RU"/>
              </w:rPr>
            </w:pPr>
            <w:r>
              <w:rPr>
                <w:rFonts w:hint="default" w:cs="Times New Roman"/>
                <w:sz w:val="24"/>
                <w:szCs w:val="24"/>
                <w:lang w:val="ru-RU"/>
              </w:rPr>
              <w:t>300064100</w:t>
            </w:r>
          </w:p>
        </w:tc>
      </w:tr>
      <w:tr w14:paraId="658982E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0" w:type="dxa"/>
            <w:gridSpan w:val="2"/>
          </w:tcPr>
          <w:p w14:paraId="51A2970C">
            <w:pPr>
              <w:jc w:val="center"/>
              <w:rPr>
                <w:rFonts w:asciiTheme="minorHAnsi" w:hAnsiTheme="minorHAnsi" w:eastAsiaTheme="minorEastAsia" w:cstheme="minorBidi"/>
                <w:b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b/>
                <w:sz w:val="24"/>
                <w:szCs w:val="24"/>
              </w:rPr>
              <w:t xml:space="preserve">III. Сведения об организаторе </w:t>
            </w:r>
          </w:p>
        </w:tc>
      </w:tr>
      <w:tr w14:paraId="3EB0288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3" w:type="dxa"/>
          </w:tcPr>
          <w:p w14:paraId="60F91FBB">
            <w:pPr>
              <w:jc w:val="center"/>
              <w:rPr>
                <w:rFonts w:ascii="Times New Roman" w:hAnsi="Times New Roman" w:eastAsia="SimSu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bCs/>
                <w:sz w:val="24"/>
                <w:szCs w:val="24"/>
              </w:rPr>
              <w:t>Наименование юридического лица.   Место нахождения.   Учетный номер плательщика</w:t>
            </w:r>
          </w:p>
        </w:tc>
        <w:tc>
          <w:tcPr>
            <w:tcW w:w="5837" w:type="dxa"/>
          </w:tcPr>
          <w:p w14:paraId="50433E0C">
            <w:pPr>
              <w:jc w:val="center"/>
              <w:rPr>
                <w:rFonts w:asciiTheme="minorHAnsi" w:hAnsiTheme="minorHAnsi" w:eastAsiaTheme="minorEastAsia" w:cstheme="minorBidi"/>
                <w:b/>
                <w:sz w:val="24"/>
                <w:szCs w:val="24"/>
              </w:rPr>
            </w:pPr>
          </w:p>
        </w:tc>
      </w:tr>
      <w:tr w14:paraId="3B8AF08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3" w:type="dxa"/>
          </w:tcPr>
          <w:p w14:paraId="1BA0A300">
            <w:pPr>
              <w:jc w:val="center"/>
              <w:rPr>
                <w:rFonts w:ascii="Times New Roman" w:hAnsi="Times New Roman" w:eastAsia="SimSu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bCs/>
                <w:sz w:val="24"/>
                <w:szCs w:val="24"/>
              </w:rPr>
              <w:t>Наименование юридического лица.   Место нахождения.   Учетный номер плательщика</w:t>
            </w:r>
          </w:p>
        </w:tc>
        <w:tc>
          <w:tcPr>
            <w:tcW w:w="5837" w:type="dxa"/>
          </w:tcPr>
          <w:p w14:paraId="7C9A03A6">
            <w:pPr>
              <w:jc w:val="center"/>
              <w:rPr>
                <w:rFonts w:asciiTheme="minorHAnsi" w:hAnsiTheme="minorHAnsi" w:eastAsiaTheme="minorEastAsia" w:cstheme="minorBidi"/>
                <w:b/>
                <w:sz w:val="24"/>
                <w:szCs w:val="24"/>
              </w:rPr>
            </w:pPr>
          </w:p>
        </w:tc>
      </w:tr>
      <w:tr w14:paraId="48A36F4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3" w:type="dxa"/>
          </w:tcPr>
          <w:p w14:paraId="0361D1A3">
            <w:pPr>
              <w:jc w:val="center"/>
              <w:rPr>
                <w:rFonts w:ascii="Times New Roman" w:hAnsi="Times New Roman" w:eastAsia="SimSu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bCs/>
                <w:sz w:val="24"/>
                <w:szCs w:val="24"/>
              </w:rPr>
              <w:t>Наименование юридического лица.   Место нахождения.   Учетный номер плательщика</w:t>
            </w:r>
          </w:p>
        </w:tc>
        <w:tc>
          <w:tcPr>
            <w:tcW w:w="5837" w:type="dxa"/>
          </w:tcPr>
          <w:p w14:paraId="5AB40EAA">
            <w:pPr>
              <w:jc w:val="center"/>
              <w:rPr>
                <w:rFonts w:asciiTheme="minorHAnsi" w:hAnsiTheme="minorHAnsi" w:eastAsiaTheme="minorEastAsia" w:cstheme="minorBidi"/>
                <w:b/>
                <w:sz w:val="24"/>
                <w:szCs w:val="24"/>
              </w:rPr>
            </w:pPr>
          </w:p>
        </w:tc>
      </w:tr>
      <w:tr w14:paraId="71B4CEC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0" w:type="dxa"/>
            <w:gridSpan w:val="2"/>
          </w:tcPr>
          <w:p w14:paraId="6AB66104">
            <w:pPr>
              <w:jc w:val="center"/>
              <w:rPr>
                <w:rFonts w:ascii="Times New Roman" w:hAnsi="Times New Roman" w:eastAsia="SimSu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b/>
                <w:sz w:val="24"/>
                <w:szCs w:val="24"/>
              </w:rPr>
              <w:t>IV. Сведения о процедуре закупки из одного источника</w:t>
            </w:r>
          </w:p>
        </w:tc>
      </w:tr>
      <w:tr w14:paraId="35AFF86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3" w:type="dxa"/>
          </w:tcPr>
          <w:p w14:paraId="2C77D267">
            <w:pPr>
              <w:jc w:val="both"/>
              <w:rPr>
                <w:rFonts w:ascii="Times New Roman" w:hAnsi="Times New Roman" w:eastAsia="SimSu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bCs/>
                <w:sz w:val="24"/>
                <w:szCs w:val="24"/>
              </w:rPr>
              <w:t xml:space="preserve">Дата истечения срока предоставления документов и (или) сведений поставщиками (подрядчиками, исполнителями) </w:t>
            </w:r>
          </w:p>
        </w:tc>
        <w:tc>
          <w:tcPr>
            <w:tcW w:w="5837" w:type="dxa"/>
          </w:tcPr>
          <w:p w14:paraId="0BCF95BC">
            <w:pPr>
              <w:rPr>
                <w:rFonts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</w:rPr>
              <w:t xml:space="preserve">До </w:t>
            </w:r>
            <w:r>
              <w:rPr>
                <w:rFonts w:hint="default" w:cs="Times New Roman"/>
                <w:sz w:val="24"/>
                <w:szCs w:val="24"/>
                <w:lang w:val="ru-RU"/>
              </w:rPr>
              <w:t>17</w:t>
            </w:r>
            <w:r>
              <w:rPr>
                <w:rFonts w:ascii="Times New Roman" w:hAnsi="Times New Roman" w:eastAsia="SimSun" w:cs="Times New Roman"/>
                <w:sz w:val="24"/>
                <w:szCs w:val="24"/>
              </w:rPr>
              <w:t>.08.2026 включительно</w:t>
            </w:r>
          </w:p>
        </w:tc>
      </w:tr>
      <w:tr w14:paraId="1995BAA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3" w:type="dxa"/>
          </w:tcPr>
          <w:p w14:paraId="66A2D55A">
            <w:pPr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</w:rPr>
              <w:t>Порядок предоставления сведений о предлагаемых потенциальными поставщиками (подрядчиками, исполнителями) товарах (работах, услугах) и ценах на них</w:t>
            </w:r>
          </w:p>
        </w:tc>
        <w:tc>
          <w:tcPr>
            <w:tcW w:w="5837" w:type="dxa"/>
          </w:tcPr>
          <w:p w14:paraId="0FDFD908"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</w:rPr>
              <w:t>Сведения о предлагаемых потенциальными поставщиками (подрядчиками, исполнителями) товарах (работах, услугах) и ценах на них предоставляются на адрес электронный почты</w:t>
            </w:r>
            <w:r>
              <w:rPr>
                <w:rFonts w:ascii="Times New Roman" w:hAnsi="Times New Roman" w:cs="Times New Roman" w:eastAsiaTheme="minorEastAsia"/>
                <w:sz w:val="22"/>
                <w:szCs w:val="22"/>
              </w:rPr>
              <w:t xml:space="preserve"> </w:t>
            </w:r>
            <w:r>
              <w:rPr>
                <w:rFonts w:hint="default" w:cs="Times New Roman" w:eastAsiaTheme="minorEastAsia"/>
                <w:sz w:val="22"/>
                <w:szCs w:val="22"/>
                <w:lang w:val="en-US"/>
              </w:rPr>
              <w:t>idatov@yandex.by</w:t>
            </w:r>
          </w:p>
        </w:tc>
      </w:tr>
      <w:tr w14:paraId="668E809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3" w:type="dxa"/>
          </w:tcPr>
          <w:p w14:paraId="3F3924AD">
            <w:pPr>
              <w:jc w:val="both"/>
              <w:rPr>
                <w:rFonts w:ascii="Times New Roman" w:hAnsi="Times New Roman" w:eastAsia="SimSu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</w:rPr>
              <w:t xml:space="preserve">Ориентировочная стоимость предмета закупки </w:t>
            </w:r>
          </w:p>
        </w:tc>
        <w:tc>
          <w:tcPr>
            <w:tcW w:w="5837" w:type="dxa"/>
          </w:tcPr>
          <w:p w14:paraId="0E40C9E8">
            <w:pPr>
              <w:rPr>
                <w:rFonts w:asciiTheme="minorHAnsi" w:hAnsiTheme="minorHAnsi" w:eastAsiaTheme="minorEastAsia" w:cstheme="min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default" w:cs="Times New Roman"/>
                <w:sz w:val="24"/>
                <w:szCs w:val="24"/>
                <w:lang w:val="en-US"/>
              </w:rPr>
              <w:t>6500</w:t>
            </w:r>
            <w:r>
              <w:rPr>
                <w:rFonts w:hint="default" w:cs="Times New Roman"/>
                <w:sz w:val="24"/>
                <w:szCs w:val="24"/>
                <w:lang w:val="ru-RU"/>
              </w:rPr>
              <w:t xml:space="preserve">,00 </w:t>
            </w:r>
            <w:r>
              <w:rPr>
                <w:rFonts w:ascii="Times New Roman" w:hAnsi="Times New Roman" w:eastAsia="SimSun" w:cs="Times New Roman"/>
                <w:sz w:val="24"/>
                <w:szCs w:val="24"/>
              </w:rPr>
              <w:t>BYN</w:t>
            </w:r>
          </w:p>
        </w:tc>
      </w:tr>
      <w:tr w14:paraId="2FB749D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3" w:type="dxa"/>
          </w:tcPr>
          <w:p w14:paraId="64E9B60C">
            <w:pPr>
              <w:jc w:val="both"/>
              <w:rPr>
                <w:rFonts w:ascii="Times New Roman" w:hAnsi="Times New Roman" w:eastAsia="SimSu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bCs/>
                <w:sz w:val="24"/>
                <w:szCs w:val="24"/>
              </w:rPr>
              <w:t xml:space="preserve">Требования к участнику процедуры закупки </w:t>
            </w:r>
          </w:p>
        </w:tc>
        <w:tc>
          <w:tcPr>
            <w:tcW w:w="5837" w:type="dxa"/>
          </w:tcPr>
          <w:p w14:paraId="2149A640">
            <w:pPr>
              <w:jc w:val="both"/>
              <w:rPr>
                <w:rFonts w:ascii="Times New Roman" w:hAnsi="Times New Roman" w:eastAsia="SimSu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bCs/>
                <w:sz w:val="24"/>
                <w:szCs w:val="24"/>
              </w:rPr>
              <w:t>К участнику процедуры закупки независимо от предмета закупки устанавливаются следующие требования:</w:t>
            </w:r>
          </w:p>
          <w:p w14:paraId="217BB008">
            <w:pPr>
              <w:jc w:val="both"/>
              <w:rPr>
                <w:rFonts w:ascii="Times New Roman" w:hAnsi="Times New Roman" w:eastAsia="SimSu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bCs/>
                <w:sz w:val="24"/>
                <w:szCs w:val="24"/>
              </w:rPr>
              <w:t>1. Юридическое или физическое лицо, в том числе индивидуальный предприниматель, на дату подачи предложения (на дату подписания заявления, указанного в части четвертой пункта 11</w:t>
            </w:r>
            <w:r>
              <w:rPr>
                <w:rFonts w:asciiTheme="minorHAnsi" w:hAnsiTheme="minorHAnsi" w:eastAsiaTheme="minorEastAsia" w:cstheme="minorBidi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eastAsia="SimSun" w:cs="Times New Roman"/>
                <w:bCs/>
                <w:sz w:val="24"/>
                <w:szCs w:val="24"/>
              </w:rPr>
              <w:t>Положения о порядке осуществления закупок товаров (работ, услуг) за счет собственных средств, утвержденного постановлением № 168) не должно быть включено в реестр поставщиков (подрядчиков, исполнителей), временно не допускаемых к закупкам (далее – реестр).</w:t>
            </w:r>
          </w:p>
          <w:p w14:paraId="211CE106">
            <w:pPr>
              <w:jc w:val="both"/>
              <w:rPr>
                <w:rFonts w:ascii="Times New Roman" w:hAnsi="Times New Roman" w:eastAsia="SimSu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bCs/>
                <w:sz w:val="24"/>
                <w:szCs w:val="24"/>
              </w:rPr>
              <w:t>2. Физическое лицо, в том числе индивидуальный предприниматель, – участник процедуры закупки, лицо, осуществляющее полномочия единоличного исполнительного органа юридического лица –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правонарушениях.</w:t>
            </w:r>
          </w:p>
          <w:p w14:paraId="6BF16CE8">
            <w:pPr>
              <w:jc w:val="both"/>
              <w:rPr>
                <w:rFonts w:ascii="Times New Roman" w:hAnsi="Times New Roman" w:eastAsia="SimSu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bCs/>
                <w:sz w:val="24"/>
                <w:szCs w:val="24"/>
              </w:rPr>
              <w:t>3. Отсутствие у участника процедуры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209–212, 216, 235, 243–2433, 424–426, 429–432 и 455 Уголовного кодекса Республики Беларусь,</w:t>
            </w:r>
          </w:p>
          <w:p w14:paraId="27EBF64C">
            <w:pPr>
              <w:jc w:val="both"/>
              <w:rPr>
                <w:rFonts w:ascii="Times New Roman" w:hAnsi="Times New Roman" w:eastAsia="SimSu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bCs/>
                <w:sz w:val="24"/>
                <w:szCs w:val="24"/>
              </w:rPr>
              <w:t>4. Отсутствие у лица, осуществляющего полномочия единоличного исполнительного органа юридического лица –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209–212, 216, 235, 243–2433, 424–426, 429–432 и 455 Уголовного кодекса Республики Беларусь.</w:t>
            </w:r>
          </w:p>
          <w:p w14:paraId="22547862">
            <w:pPr>
              <w:jc w:val="both"/>
              <w:rPr>
                <w:rFonts w:ascii="Times New Roman" w:hAnsi="Times New Roman" w:eastAsia="SimSu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bCs/>
                <w:sz w:val="24"/>
                <w:szCs w:val="24"/>
              </w:rPr>
              <w:t>5. 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правонарушениях.</w:t>
            </w:r>
          </w:p>
          <w:p w14:paraId="1D9B18FA">
            <w:pPr>
              <w:jc w:val="both"/>
              <w:rPr>
                <w:rFonts w:ascii="Times New Roman" w:hAnsi="Times New Roman" w:eastAsia="SimSu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bCs/>
                <w:sz w:val="24"/>
                <w:szCs w:val="24"/>
              </w:rPr>
              <w:t>6. 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деятельности.</w:t>
            </w:r>
          </w:p>
          <w:p w14:paraId="6219EC56">
            <w:pPr>
              <w:jc w:val="both"/>
              <w:rPr>
                <w:rFonts w:ascii="Times New Roman" w:hAnsi="Times New Roman" w:eastAsia="SimSu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bCs/>
                <w:sz w:val="24"/>
                <w:szCs w:val="24"/>
              </w:rPr>
              <w:t>7. 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деятельности.</w:t>
            </w:r>
          </w:p>
          <w:p w14:paraId="178C7DF4">
            <w:pPr>
              <w:jc w:val="both"/>
              <w:rPr>
                <w:rFonts w:ascii="Times New Roman" w:hAnsi="Times New Roman" w:eastAsia="SimSu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bCs/>
                <w:sz w:val="24"/>
                <w:szCs w:val="24"/>
              </w:rPr>
              <w:t>8. 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7EB19AE4">
            <w:pPr>
              <w:jc w:val="both"/>
              <w:rPr>
                <w:rFonts w:ascii="Times New Roman" w:hAnsi="Times New Roman" w:eastAsia="SimSu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bCs/>
                <w:sz w:val="24"/>
                <w:szCs w:val="24"/>
              </w:rPr>
              <w:t>9. Юридическое или физическое лицо, в том числе индивидуальный предприниматель, с учетом положений пунктов 12 и 13 Положения о порядке осуществления закупок товаров (работ, услуг) за счет собственных средств, утвержденного постановлением № 168) не должно быть аффилировано с закупающей организацией, организатором.</w:t>
            </w:r>
          </w:p>
          <w:p w14:paraId="74F9D6ED">
            <w:pPr>
              <w:jc w:val="both"/>
              <w:rPr>
                <w:rFonts w:ascii="Times New Roman" w:hAnsi="Times New Roman" w:eastAsia="SimSu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bCs/>
                <w:sz w:val="24"/>
                <w:szCs w:val="24"/>
              </w:rPr>
              <w:t xml:space="preserve">Соответствие требованиям, указанным в п. 1 – 9 подтверждается заявлением участника в письменной форме, подписанным не ранее чем за пять рабочих дней до даты заключения договора. </w:t>
            </w:r>
          </w:p>
        </w:tc>
      </w:tr>
      <w:tr w14:paraId="3DB590D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0" w:type="dxa"/>
            <w:gridSpan w:val="2"/>
          </w:tcPr>
          <w:p w14:paraId="2E318B31">
            <w:pPr>
              <w:jc w:val="center"/>
              <w:rPr>
                <w:rFonts w:ascii="Times New Roman" w:hAnsi="Times New Roman" w:eastAsia="SimSu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b/>
                <w:sz w:val="24"/>
                <w:szCs w:val="24"/>
              </w:rPr>
              <w:t>V. Сведения о предмете закупки</w:t>
            </w:r>
          </w:p>
        </w:tc>
      </w:tr>
      <w:tr w14:paraId="4B20BEE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0" w:type="dxa"/>
            <w:gridSpan w:val="2"/>
          </w:tcPr>
          <w:p w14:paraId="6EFBC0CF">
            <w:pPr>
              <w:jc w:val="center"/>
              <w:rPr>
                <w:rFonts w:ascii="Times New Roman" w:hAnsi="Times New Roman" w:cs="Times New Roman" w:eastAsiaTheme="minorEastAsia"/>
                <w:b/>
                <w:sz w:val="24"/>
                <w:szCs w:val="24"/>
              </w:rPr>
            </w:pPr>
            <w:bookmarkStart w:id="0" w:name="_Hlk174606102"/>
            <w:r>
              <w:rPr>
                <w:rFonts w:ascii="Times New Roman" w:hAnsi="Times New Roman" w:cs="Times New Roman" w:eastAsiaTheme="minorEastAsia"/>
                <w:b/>
                <w:sz w:val="24"/>
                <w:szCs w:val="24"/>
              </w:rPr>
              <w:t xml:space="preserve">Лот № 1 </w:t>
            </w:r>
          </w:p>
        </w:tc>
      </w:tr>
      <w:tr w14:paraId="50FF4CF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3" w:type="dxa"/>
            <w:shd w:val="clear" w:color="auto" w:fill="auto"/>
          </w:tcPr>
          <w:p w14:paraId="4247BD57">
            <w:pPr>
              <w:jc w:val="both"/>
              <w:rPr>
                <w:rFonts w:asciiTheme="minorHAnsi" w:hAnsiTheme="minorHAnsi" w:eastAsiaTheme="minorEastAsia" w:cstheme="minorBidi"/>
                <w:bCs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bCs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837" w:type="dxa"/>
            <w:shd w:val="clear" w:color="auto" w:fill="auto"/>
          </w:tcPr>
          <w:p w14:paraId="55379942">
            <w:pPr>
              <w:jc w:val="both"/>
              <w:rPr>
                <w:rFonts w:hint="default" w:asciiTheme="minorHAnsi" w:hAnsiTheme="minorHAnsi" w:eastAsiaTheme="minorEastAsia" w:cstheme="minorBidi"/>
                <w:sz w:val="24"/>
                <w:szCs w:val="24"/>
                <w:lang w:val="ru-RU"/>
              </w:rPr>
            </w:pPr>
            <w:r>
              <w:rPr>
                <w:rFonts w:cs="Times New Roman" w:eastAsiaTheme="minorEastAsia"/>
                <w:b/>
                <w:bCs/>
                <w:color w:val="000000" w:themeColor="text1"/>
                <w:sz w:val="24"/>
                <w:szCs w:val="24"/>
                <w:shd w:val="clear" w:color="auto" w:fill="F9F9F9"/>
                <w:lang w:val="ru-RU"/>
                <w14:textFill>
                  <w14:solidFill>
                    <w14:schemeClr w14:val="tx1"/>
                  </w14:solidFill>
                </w14:textFill>
              </w:rPr>
              <w:t>Спецодежда</w:t>
            </w:r>
          </w:p>
        </w:tc>
      </w:tr>
      <w:tr w14:paraId="70DFB1F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3" w:type="dxa"/>
            <w:shd w:val="clear" w:color="auto" w:fill="auto"/>
          </w:tcPr>
          <w:p w14:paraId="6D38B7AF">
            <w:pPr>
              <w:jc w:val="both"/>
              <w:rPr>
                <w:rFonts w:asciiTheme="minorHAnsi" w:hAnsiTheme="minorHAnsi" w:eastAsiaTheme="minorEastAsia" w:cstheme="minorBidi"/>
                <w:bCs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bCs/>
                <w:sz w:val="24"/>
                <w:szCs w:val="24"/>
              </w:rPr>
              <w:t xml:space="preserve">Код о ОКРБ 007-2012 </w:t>
            </w:r>
          </w:p>
        </w:tc>
        <w:tc>
          <w:tcPr>
            <w:tcW w:w="5837" w:type="dxa"/>
            <w:shd w:val="clear" w:color="auto" w:fill="auto"/>
          </w:tcPr>
          <w:p w14:paraId="33EB9C80">
            <w:pPr>
              <w:jc w:val="both"/>
              <w:rPr>
                <w:rFonts w:asciiTheme="minorHAnsi" w:hAnsiTheme="minorHAnsi" w:eastAsiaTheme="minorEastAsia" w:cstheme="minorBidi"/>
                <w:sz w:val="24"/>
                <w:szCs w:val="24"/>
              </w:rPr>
            </w:pPr>
            <w:r>
              <w:rPr>
                <w:rFonts w:hint="default" w:ascii="Times New Roman" w:hAnsi="Times New Roman" w:eastAsiaTheme="minorEastAsia" w:cstheme="minorBidi"/>
                <w:color w:val="000000"/>
                <w:sz w:val="24"/>
                <w:szCs w:val="24"/>
                <w:shd w:val="clear" w:color="auto" w:fill="FFFFFF"/>
              </w:rPr>
              <w:t>14.12.11.200</w:t>
            </w:r>
          </w:p>
        </w:tc>
      </w:tr>
      <w:tr w14:paraId="1DA0728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3" w:type="dxa"/>
            <w:shd w:val="clear" w:color="auto" w:fill="auto"/>
          </w:tcPr>
          <w:p w14:paraId="50BA436A">
            <w:pPr>
              <w:jc w:val="both"/>
              <w:rPr>
                <w:rFonts w:ascii="Times New Roman" w:hAnsi="Times New Roman" w:cs="Times New Roman" w:eastAsiaTheme="minorEastAsia"/>
                <w:bCs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bCs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837" w:type="dxa"/>
            <w:shd w:val="clear" w:color="auto" w:fill="auto"/>
          </w:tcPr>
          <w:p w14:paraId="14B923D6"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highlight w:val="yellow"/>
                <w:lang w:val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  <w:lang w:val="ru-RU"/>
              </w:rPr>
              <w:t>Комплекты и костюмы рабочие, мужские или для мальчиков</w:t>
            </w:r>
          </w:p>
        </w:tc>
      </w:tr>
      <w:tr w14:paraId="190FD5D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3" w:type="dxa"/>
            <w:shd w:val="clear" w:color="auto" w:fill="auto"/>
          </w:tcPr>
          <w:p w14:paraId="2F5772B3">
            <w:pPr>
              <w:jc w:val="both"/>
              <w:rPr>
                <w:rFonts w:ascii="Times New Roman" w:hAnsi="Times New Roman" w:cs="Times New Roman" w:eastAsiaTheme="minorEastAsia"/>
                <w:bCs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bCs/>
                <w:sz w:val="24"/>
                <w:szCs w:val="24"/>
              </w:rPr>
              <w:t xml:space="preserve">Описание предмета закупки, в том числе требования к его качеству, техническим и функциональным характеристикам, иные требования, связанные с определением соответствия поставляемого товара (выполняемой работы, оказываемой услуги) потребностям закупающей организации </w:t>
            </w:r>
          </w:p>
        </w:tc>
        <w:tc>
          <w:tcPr>
            <w:tcW w:w="5837" w:type="dxa"/>
            <w:shd w:val="clear" w:color="auto" w:fill="auto"/>
          </w:tcPr>
          <w:p w14:paraId="1D157792">
            <w:pPr>
              <w:keepLines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</w:rPr>
              <w:t>Товар должен быть новым (не бывшим в эксплуатации)</w:t>
            </w:r>
          </w:p>
          <w:p w14:paraId="240EFE8A">
            <w:pPr>
              <w:keepLines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</w:rPr>
              <w:t>Требования к предмету закупки:</w:t>
            </w:r>
          </w:p>
          <w:p w14:paraId="69A2DD26">
            <w:pPr>
              <w:keepLines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Костюм рабочий с брюками, темно-синий/василек 80% хлопок, 20% пэ, плотность 245-260 гр/м2</w:t>
            </w:r>
          </w:p>
          <w:p w14:paraId="39F456B1">
            <w:pPr>
              <w:keepLines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 xml:space="preserve">  1. Размер 48-50 рост 170-176 -12 шт</w:t>
            </w:r>
          </w:p>
          <w:p w14:paraId="2358E312">
            <w:pPr>
              <w:keepLines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 xml:space="preserve">    2. Размер 48-50 рост 182-188- 12 шт</w:t>
            </w:r>
          </w:p>
          <w:p w14:paraId="568906D8">
            <w:pPr>
              <w:keepLines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 xml:space="preserve">    3. Размер 52-54 рост 170-176-12шт</w:t>
            </w:r>
          </w:p>
          <w:p w14:paraId="090A18AE">
            <w:pPr>
              <w:keepLines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 xml:space="preserve">    4. Размер 52-54 рост 182-188-12шт</w:t>
            </w:r>
          </w:p>
          <w:p w14:paraId="44E9C438">
            <w:pPr>
              <w:keepLines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 xml:space="preserve">    5. Размер 56-58 рост 170-176-12шт</w:t>
            </w:r>
          </w:p>
          <w:p w14:paraId="641ACBC4">
            <w:pPr>
              <w:keepLines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 xml:space="preserve">    6. Размер 56-58 рост 182-188-12шт</w:t>
            </w:r>
          </w:p>
          <w:p w14:paraId="155AA187">
            <w:pPr>
              <w:keepLines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 xml:space="preserve">    7. Размер 60-62 рост 194-200- 3шт</w:t>
            </w:r>
          </w:p>
          <w:p w14:paraId="50B05DEB">
            <w:pPr>
              <w:keepLines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 xml:space="preserve">    8. Размер 64-66 рост 170-176 -1шт</w:t>
            </w:r>
          </w:p>
        </w:tc>
      </w:tr>
      <w:tr w14:paraId="592E82E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3" w:type="dxa"/>
            <w:shd w:val="clear" w:color="auto" w:fill="auto"/>
          </w:tcPr>
          <w:p w14:paraId="0F8C62CB">
            <w:pPr>
              <w:jc w:val="both"/>
              <w:rPr>
                <w:rFonts w:asciiTheme="minorHAnsi" w:hAnsiTheme="minorHAnsi" w:eastAsiaTheme="minorEastAsia" w:cstheme="minorBidi"/>
                <w:bCs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bCs/>
                <w:sz w:val="24"/>
                <w:szCs w:val="24"/>
              </w:rPr>
              <w:t>Объем (количество) либо порядок определения такого объема (количества) в случае невозможности определения объема (количества) подлежащих приобретению товаров (работ, услуг)</w:t>
            </w:r>
          </w:p>
        </w:tc>
        <w:tc>
          <w:tcPr>
            <w:tcW w:w="5837" w:type="dxa"/>
            <w:shd w:val="clear" w:color="auto" w:fill="auto"/>
          </w:tcPr>
          <w:p w14:paraId="17B6C19E">
            <w:pPr>
              <w:jc w:val="both"/>
              <w:rPr>
                <w:rFonts w:hint="default" w:asciiTheme="minorHAnsi" w:hAnsiTheme="minorHAnsi" w:eastAsiaTheme="minorEastAsia" w:cstheme="minorBidi"/>
                <w:sz w:val="24"/>
                <w:szCs w:val="24"/>
                <w:lang w:val="ru-RU"/>
              </w:rPr>
            </w:pPr>
            <w:r>
              <w:rPr>
                <w:rFonts w:hint="default" w:cs="Times New Roman" w:eastAsiaTheme="minorEastAsia"/>
                <w:bCs/>
                <w:sz w:val="24"/>
                <w:szCs w:val="24"/>
                <w:lang w:val="ru-RU"/>
              </w:rPr>
              <w:t>76 шт.</w:t>
            </w:r>
          </w:p>
        </w:tc>
      </w:tr>
      <w:tr w14:paraId="0305AE9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3" w:type="dxa"/>
            <w:shd w:val="clear" w:color="auto" w:fill="auto"/>
          </w:tcPr>
          <w:p w14:paraId="68606361">
            <w:pPr>
              <w:jc w:val="both"/>
              <w:rPr>
                <w:rFonts w:asciiTheme="minorHAnsi" w:hAnsiTheme="minorHAnsi" w:eastAsiaTheme="minorEastAsia" w:cstheme="minorBidi"/>
                <w:bCs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bCs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837" w:type="dxa"/>
            <w:shd w:val="clear" w:color="auto" w:fill="auto"/>
          </w:tcPr>
          <w:p w14:paraId="54D1786C">
            <w:pPr>
              <w:jc w:val="both"/>
              <w:rPr>
                <w:rFonts w:asciiTheme="minorHAnsi" w:hAnsiTheme="minorHAnsi" w:eastAsiaTheme="minorEastAsia" w:cstheme="minorBidi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</w:rPr>
              <w:t xml:space="preserve">В течение </w:t>
            </w:r>
            <w:r>
              <w:rPr>
                <w:rFonts w:hint="default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hAnsi="Times New Roman" w:eastAsia="SimSun" w:cs="Times New Roman"/>
                <w:sz w:val="24"/>
                <w:szCs w:val="24"/>
              </w:rPr>
              <w:t xml:space="preserve"> рабочих дней со дня зачисления денежных средств на текущий (расчетный) банковский счет поставщика</w:t>
            </w:r>
          </w:p>
        </w:tc>
      </w:tr>
      <w:tr w14:paraId="4371B4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3" w:type="dxa"/>
            <w:shd w:val="clear" w:color="auto" w:fill="auto"/>
          </w:tcPr>
          <w:p w14:paraId="0C06904D">
            <w:pPr>
              <w:jc w:val="both"/>
              <w:rPr>
                <w:rFonts w:asciiTheme="minorHAnsi" w:hAnsiTheme="minorHAnsi" w:eastAsiaTheme="minorEastAsia" w:cstheme="minorBidi"/>
                <w:bCs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bCs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837" w:type="dxa"/>
            <w:shd w:val="clear" w:color="auto" w:fill="auto"/>
          </w:tcPr>
          <w:p w14:paraId="72DA801C">
            <w:pPr>
              <w:jc w:val="both"/>
              <w:rPr>
                <w:rFonts w:hint="default" w:asciiTheme="minorHAnsi" w:hAnsiTheme="minorHAnsi" w:eastAsiaTheme="minorEastAsia" w:cstheme="minorBidi"/>
                <w:sz w:val="24"/>
                <w:szCs w:val="24"/>
                <w:lang w:val="ru-RU"/>
              </w:rPr>
            </w:pPr>
            <w:r>
              <w:rPr>
                <w:rFonts w:hint="default" w:cs="Times New Roman"/>
                <w:sz w:val="24"/>
                <w:szCs w:val="24"/>
                <w:lang w:val="ru-RU"/>
              </w:rPr>
              <w:t>210034, г. Витебск, ул. Ленинградская, 136</w:t>
            </w:r>
          </w:p>
        </w:tc>
      </w:tr>
      <w:tr w14:paraId="50BBF57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3" w:type="dxa"/>
            <w:shd w:val="clear" w:color="auto" w:fill="auto"/>
          </w:tcPr>
          <w:p w14:paraId="7C24FEFC">
            <w:pPr>
              <w:jc w:val="both"/>
              <w:rPr>
                <w:rFonts w:asciiTheme="minorHAnsi" w:hAnsiTheme="minorHAnsi" w:eastAsiaTheme="minorEastAsia" w:cstheme="minorBidi"/>
                <w:bCs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bCs/>
                <w:sz w:val="24"/>
                <w:szCs w:val="24"/>
              </w:rPr>
              <w:t>Ориентировочная стоимость предмета государственной закупки по части (лоту)</w:t>
            </w:r>
          </w:p>
        </w:tc>
        <w:tc>
          <w:tcPr>
            <w:tcW w:w="5837" w:type="dxa"/>
            <w:shd w:val="clear" w:color="auto" w:fill="auto"/>
          </w:tcPr>
          <w:p w14:paraId="32570DDF">
            <w:pPr>
              <w:jc w:val="both"/>
              <w:rPr>
                <w:rFonts w:asciiTheme="minorHAnsi" w:hAnsiTheme="minorHAnsi" w:eastAsiaTheme="minorEastAsia" w:cstheme="minorBidi"/>
                <w:sz w:val="24"/>
                <w:szCs w:val="24"/>
              </w:rPr>
            </w:pPr>
            <w:r>
              <w:rPr>
                <w:rFonts w:hint="default" w:cs="Times New Roman"/>
                <w:sz w:val="24"/>
                <w:szCs w:val="24"/>
                <w:lang w:val="ru-RU"/>
              </w:rPr>
              <w:t>6500,00</w:t>
            </w:r>
            <w:r>
              <w:rPr>
                <w:rFonts w:ascii="Times New Roman" w:hAnsi="Times New Roman" w:eastAsia="SimSun" w:cs="Times New Roman"/>
                <w:sz w:val="24"/>
                <w:szCs w:val="24"/>
              </w:rPr>
              <w:t xml:space="preserve"> BYN</w:t>
            </w:r>
          </w:p>
        </w:tc>
      </w:tr>
      <w:tr w14:paraId="49766A2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3" w:type="dxa"/>
            <w:shd w:val="clear" w:color="auto" w:fill="auto"/>
          </w:tcPr>
          <w:p w14:paraId="55C4745A">
            <w:pPr>
              <w:jc w:val="both"/>
              <w:rPr>
                <w:rFonts w:asciiTheme="minorHAnsi" w:hAnsiTheme="minorHAnsi" w:eastAsiaTheme="minorEastAsia" w:cstheme="minorBidi"/>
                <w:bCs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bCs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837" w:type="dxa"/>
            <w:shd w:val="clear" w:color="auto" w:fill="auto"/>
          </w:tcPr>
          <w:p w14:paraId="6CB07B48">
            <w:pPr>
              <w:jc w:val="both"/>
              <w:rPr>
                <w:rFonts w:asciiTheme="minorHAnsi" w:hAnsiTheme="minorHAnsi" w:eastAsiaTheme="minorEastAsia" w:cstheme="minorBidi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bCs/>
                <w:sz w:val="24"/>
                <w:szCs w:val="24"/>
              </w:rPr>
              <w:t>Собственные средства</w:t>
            </w:r>
          </w:p>
        </w:tc>
      </w:tr>
      <w:tr w14:paraId="0D9DE13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3" w:type="dxa"/>
          </w:tcPr>
          <w:p w14:paraId="5ED30A58">
            <w:pPr>
              <w:jc w:val="both"/>
              <w:rPr>
                <w:rFonts w:asciiTheme="minorHAnsi" w:hAnsiTheme="minorHAnsi" w:eastAsiaTheme="minorEastAsia" w:cstheme="minorBidi"/>
                <w:bCs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bCs/>
                <w:sz w:val="24"/>
                <w:szCs w:val="24"/>
              </w:rPr>
              <w:t>Порядок оплаты товара (выполненных работ, оказанных услуг)</w:t>
            </w:r>
          </w:p>
        </w:tc>
        <w:tc>
          <w:tcPr>
            <w:tcW w:w="5837" w:type="dxa"/>
          </w:tcPr>
          <w:p w14:paraId="6140CA4D">
            <w:pPr>
              <w:jc w:val="both"/>
              <w:rPr>
                <w:rFonts w:hint="default" w:asciiTheme="minorHAnsi" w:hAnsiTheme="minorHAnsi" w:eastAsiaTheme="minorEastAsia" w:cstheme="minorBidi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</w:rPr>
              <w:t xml:space="preserve">Безналичный расчет, </w:t>
            </w:r>
            <w:r>
              <w:rPr>
                <w:rFonts w:hint="default" w:cs="Times New Roman"/>
                <w:sz w:val="24"/>
                <w:szCs w:val="24"/>
                <w:lang w:val="ru-RU"/>
              </w:rPr>
              <w:t>50</w:t>
            </w:r>
            <w:r>
              <w:rPr>
                <w:rFonts w:ascii="Times New Roman" w:hAnsi="Times New Roman" w:eastAsia="SimSun" w:cs="Times New Roman"/>
                <w:sz w:val="24"/>
                <w:szCs w:val="24"/>
              </w:rPr>
              <w:t>% предоплата в течение 3 рабочих дней с даты заключения договора</w:t>
            </w:r>
            <w:r>
              <w:rPr>
                <w:rFonts w:hint="default" w:cs="Times New Roman"/>
                <w:sz w:val="24"/>
                <w:szCs w:val="24"/>
                <w:lang w:val="ru-RU"/>
              </w:rPr>
              <w:t>, 50% в течение 10</w:t>
            </w:r>
            <w:r>
              <w:rPr>
                <w:rFonts w:ascii="Times New Roman" w:hAnsi="Times New Roman" w:eastAsia="SimSun" w:cs="Times New Roman"/>
                <w:sz w:val="24"/>
                <w:szCs w:val="24"/>
              </w:rPr>
              <w:t xml:space="preserve"> рабочих дней со дня </w:t>
            </w:r>
            <w:r>
              <w:rPr>
                <w:rFonts w:cs="Times New Roman"/>
                <w:sz w:val="24"/>
                <w:szCs w:val="24"/>
                <w:lang w:val="ru-RU"/>
              </w:rPr>
              <w:t>поставки</w:t>
            </w:r>
          </w:p>
        </w:tc>
      </w:tr>
    </w:tbl>
    <w:p w14:paraId="14FA48F2">
      <w:pPr>
        <w:ind w:firstLine="709"/>
        <w:jc w:val="both"/>
        <w:rPr>
          <w:b/>
          <w:bCs/>
          <w:color w:val="000000"/>
          <w:sz w:val="24"/>
          <w:szCs w:val="24"/>
        </w:rPr>
      </w:pPr>
    </w:p>
    <w:p w14:paraId="413E0017">
      <w:pPr>
        <w:ind w:firstLine="709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VI. Требования к документам и (или) сведениям, предоставляемым поставщиками (подрядчиками, исполнителями) </w:t>
      </w:r>
    </w:p>
    <w:p w14:paraId="654D4289">
      <w:pPr>
        <w:ind w:firstLine="709"/>
        <w:jc w:val="both"/>
        <w:rPr>
          <w:color w:val="000000"/>
          <w:sz w:val="24"/>
          <w:szCs w:val="24"/>
        </w:rPr>
      </w:pPr>
      <w:bookmarkStart w:id="1" w:name="105"/>
      <w:bookmarkEnd w:id="1"/>
      <w:r>
        <w:rPr>
          <w:color w:val="000000"/>
          <w:sz w:val="24"/>
          <w:szCs w:val="24"/>
        </w:rPr>
        <w:t> </w:t>
      </w:r>
      <w:bookmarkStart w:id="2" w:name="24"/>
      <w:bookmarkEnd w:id="2"/>
      <w:r>
        <w:rPr>
          <w:color w:val="000000"/>
          <w:sz w:val="24"/>
          <w:szCs w:val="24"/>
        </w:rPr>
        <w:t>Документы и (или) сведения предоставляются поставщиками (подрядчиками, исполнителями) на белорусском и (или) русском языках.</w:t>
      </w:r>
    </w:p>
    <w:p w14:paraId="510996F9">
      <w:pPr>
        <w:ind w:firstLine="709"/>
        <w:jc w:val="both"/>
        <w:rPr>
          <w:color w:val="000000"/>
          <w:sz w:val="24"/>
          <w:szCs w:val="24"/>
        </w:rPr>
      </w:pPr>
      <w:bookmarkStart w:id="3" w:name="25"/>
      <w:bookmarkEnd w:id="3"/>
      <w:r>
        <w:rPr>
          <w:color w:val="000000"/>
          <w:sz w:val="24"/>
          <w:szCs w:val="24"/>
        </w:rPr>
        <w:t>Документы и (или) сведения поставщика (подрядчика, исполнителя) должны содержать следующую информацию:</w:t>
      </w:r>
      <w:bookmarkStart w:id="4" w:name="26"/>
      <w:bookmarkEnd w:id="4"/>
      <w:r>
        <w:rPr>
          <w:color w:val="000000"/>
          <w:sz w:val="24"/>
          <w:szCs w:val="24"/>
        </w:rPr>
        <w:t> </w:t>
      </w:r>
    </w:p>
    <w:p w14:paraId="432ECD8D">
      <w:pPr>
        <w:ind w:firstLine="709"/>
        <w:jc w:val="both"/>
        <w:rPr>
          <w:color w:val="000000"/>
          <w:sz w:val="24"/>
          <w:szCs w:val="24"/>
        </w:rPr>
      </w:pPr>
    </w:p>
    <w:tbl>
      <w:tblPr>
        <w:tblStyle w:val="12"/>
        <w:tblW w:w="10460" w:type="dxa"/>
        <w:tblInd w:w="20" w:type="dxa"/>
        <w:tblLayout w:type="fixed"/>
        <w:tblCellMar>
          <w:top w:w="20" w:type="dxa"/>
          <w:left w:w="20" w:type="dxa"/>
          <w:bottom w:w="20" w:type="dxa"/>
          <w:right w:w="20" w:type="dxa"/>
        </w:tblCellMar>
      </w:tblPr>
      <w:tblGrid>
        <w:gridCol w:w="4820"/>
        <w:gridCol w:w="5640"/>
      </w:tblGrid>
      <w:tr w14:paraId="0BA18AFE">
        <w:tblPrEx>
          <w:tblCellMar>
            <w:top w:w="20" w:type="dxa"/>
            <w:left w:w="20" w:type="dxa"/>
            <w:bottom w:w="20" w:type="dxa"/>
            <w:right w:w="20" w:type="dxa"/>
          </w:tblCellMar>
        </w:tblPrEx>
        <w:tc>
          <w:tcPr>
            <w:tcW w:w="10460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7F1A05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Сведения о предлагаемых товарах (работах, услугах)</w:t>
            </w:r>
          </w:p>
        </w:tc>
      </w:tr>
      <w:tr w14:paraId="626BAF97">
        <w:tblPrEx>
          <w:tblCellMar>
            <w:top w:w="20" w:type="dxa"/>
            <w:left w:w="20" w:type="dxa"/>
            <w:bottom w:w="20" w:type="dxa"/>
            <w:right w:w="20" w:type="dxa"/>
          </w:tblCellMar>
        </w:tblPrEx>
        <w:tc>
          <w:tcPr>
            <w:tcW w:w="10460" w:type="dxa"/>
            <w:gridSpan w:val="2"/>
            <w:tcBorders>
              <w:bottom w:val="single" w:color="auto" w:sz="4" w:space="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F5DF42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Часть (лот) № _____ </w:t>
            </w:r>
          </w:p>
        </w:tc>
      </w:tr>
      <w:tr w14:paraId="440EA74C">
        <w:tblPrEx>
          <w:tblCellMar>
            <w:top w:w="20" w:type="dxa"/>
            <w:left w:w="20" w:type="dxa"/>
            <w:bottom w:w="20" w:type="dxa"/>
            <w:right w:w="20" w:type="dxa"/>
          </w:tblCellMar>
        </w:tblPrEx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83C1BA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5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4FCDF4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 </w:t>
            </w:r>
          </w:p>
        </w:tc>
      </w:tr>
      <w:tr w14:paraId="424BF765">
        <w:tblPrEx>
          <w:tblCellMar>
            <w:top w:w="20" w:type="dxa"/>
            <w:left w:w="20" w:type="dxa"/>
            <w:bottom w:w="20" w:type="dxa"/>
            <w:right w:w="20" w:type="dxa"/>
          </w:tblCellMar>
        </w:tblPrEx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34D5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5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2FA95A6">
            <w:pPr>
              <w:rPr>
                <w:color w:val="000000"/>
                <w:sz w:val="24"/>
                <w:szCs w:val="24"/>
              </w:rPr>
            </w:pPr>
          </w:p>
        </w:tc>
      </w:tr>
      <w:tr w14:paraId="03D3D11E">
        <w:tblPrEx>
          <w:tblCellMar>
            <w:top w:w="20" w:type="dxa"/>
            <w:left w:w="20" w:type="dxa"/>
            <w:bottom w:w="20" w:type="dxa"/>
            <w:right w:w="20" w:type="dxa"/>
          </w:tblCellMar>
        </w:tblPrEx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75EA6D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5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532AAE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 </w:t>
            </w:r>
          </w:p>
        </w:tc>
      </w:tr>
      <w:tr w14:paraId="277BC60E">
        <w:tblPrEx>
          <w:tblCellMar>
            <w:top w:w="20" w:type="dxa"/>
            <w:left w:w="20" w:type="dxa"/>
            <w:bottom w:w="20" w:type="dxa"/>
            <w:right w:w="20" w:type="dxa"/>
          </w:tblCellMar>
        </w:tblPrEx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00A13E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Объем (количество), единица измерения</w:t>
            </w:r>
          </w:p>
        </w:tc>
        <w:tc>
          <w:tcPr>
            <w:tcW w:w="5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AAAB5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 </w:t>
            </w:r>
          </w:p>
        </w:tc>
      </w:tr>
      <w:tr w14:paraId="7733D465">
        <w:tblPrEx>
          <w:tblCellMar>
            <w:top w:w="20" w:type="dxa"/>
            <w:left w:w="20" w:type="dxa"/>
            <w:bottom w:w="20" w:type="dxa"/>
            <w:right w:w="20" w:type="dxa"/>
          </w:tblCellMar>
        </w:tblPrEx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269C95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запросом о предоставлении сведений в целях изучения конъюнктуры рынка для проведения процедуры закупки из одного источника</w:t>
            </w:r>
          </w:p>
        </w:tc>
        <w:tc>
          <w:tcPr>
            <w:tcW w:w="5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F5D3E8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 </w:t>
            </w:r>
          </w:p>
        </w:tc>
      </w:tr>
      <w:tr w14:paraId="62D3C8C1">
        <w:tblPrEx>
          <w:tblCellMar>
            <w:top w:w="20" w:type="dxa"/>
            <w:left w:w="20" w:type="dxa"/>
            <w:bottom w:w="20" w:type="dxa"/>
            <w:right w:w="20" w:type="dxa"/>
          </w:tblCellMar>
        </w:tblPrEx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A68185C">
            <w:pPr>
              <w:rPr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67B4A0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 </w:t>
            </w:r>
          </w:p>
        </w:tc>
      </w:tr>
      <w:tr w14:paraId="6A4022C9">
        <w:tblPrEx>
          <w:tblCellMar>
            <w:top w:w="20" w:type="dxa"/>
            <w:left w:w="20" w:type="dxa"/>
            <w:bottom w:w="20" w:type="dxa"/>
            <w:right w:w="20" w:type="dxa"/>
          </w:tblCellMar>
        </w:tblPrEx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DED766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9E53C1D">
            <w:pPr>
              <w:rPr>
                <w:color w:val="000000"/>
                <w:sz w:val="24"/>
                <w:szCs w:val="24"/>
              </w:rPr>
            </w:pPr>
          </w:p>
        </w:tc>
      </w:tr>
      <w:tr w14:paraId="2F8875AD">
        <w:tblPrEx>
          <w:tblCellMar>
            <w:top w:w="20" w:type="dxa"/>
            <w:left w:w="20" w:type="dxa"/>
            <w:bottom w:w="20" w:type="dxa"/>
            <w:right w:w="20" w:type="dxa"/>
          </w:tblCellMar>
        </w:tblPrEx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BEE2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Порядок оплаты товара (выполненных работ, оказанных услуг)</w:t>
            </w:r>
          </w:p>
        </w:tc>
        <w:tc>
          <w:tcPr>
            <w:tcW w:w="5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DF9B458">
            <w:pPr>
              <w:rPr>
                <w:color w:val="000000"/>
                <w:sz w:val="24"/>
                <w:szCs w:val="24"/>
              </w:rPr>
            </w:pPr>
          </w:p>
        </w:tc>
      </w:tr>
      <w:tr w14:paraId="0A2046AE">
        <w:tblPrEx>
          <w:tblCellMar>
            <w:top w:w="20" w:type="dxa"/>
            <w:left w:w="20" w:type="dxa"/>
            <w:bottom w:w="20" w:type="dxa"/>
            <w:right w:w="20" w:type="dxa"/>
          </w:tblCellMar>
        </w:tblPrEx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1C988A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Цена товара (работ, услуг)</w:t>
            </w:r>
          </w:p>
        </w:tc>
        <w:tc>
          <w:tcPr>
            <w:tcW w:w="5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B8B4D4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 </w:t>
            </w:r>
          </w:p>
        </w:tc>
      </w:tr>
      <w:tr w14:paraId="3DBC920C">
        <w:tblPrEx>
          <w:tblCellMar>
            <w:top w:w="20" w:type="dxa"/>
            <w:left w:w="20" w:type="dxa"/>
            <w:bottom w:w="20" w:type="dxa"/>
            <w:right w:w="20" w:type="dxa"/>
          </w:tblCellMar>
        </w:tblPrEx>
        <w:tc>
          <w:tcPr>
            <w:tcW w:w="104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344494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Сведения о поставщике (подрядчике, исполнителе)</w:t>
            </w:r>
          </w:p>
        </w:tc>
      </w:tr>
      <w:tr w14:paraId="58FD7CDC">
        <w:tblPrEx>
          <w:tblCellMar>
            <w:top w:w="20" w:type="dxa"/>
            <w:left w:w="20" w:type="dxa"/>
            <w:bottom w:w="20" w:type="dxa"/>
            <w:right w:w="20" w:type="dxa"/>
          </w:tblCellMar>
        </w:tblPrEx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63B9AF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5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B5EAC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 </w:t>
            </w:r>
          </w:p>
        </w:tc>
      </w:tr>
      <w:tr w14:paraId="24A191B3">
        <w:tblPrEx>
          <w:tblCellMar>
            <w:top w:w="20" w:type="dxa"/>
            <w:left w:w="20" w:type="dxa"/>
            <w:bottom w:w="20" w:type="dxa"/>
            <w:right w:w="20" w:type="dxa"/>
          </w:tblCellMar>
        </w:tblPrEx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FABDB3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Место нахождения (место жительства)</w:t>
            </w:r>
          </w:p>
        </w:tc>
        <w:tc>
          <w:tcPr>
            <w:tcW w:w="5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F0597E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 </w:t>
            </w:r>
          </w:p>
        </w:tc>
      </w:tr>
      <w:tr w14:paraId="364893B7">
        <w:tblPrEx>
          <w:tblCellMar>
            <w:top w:w="20" w:type="dxa"/>
            <w:left w:w="20" w:type="dxa"/>
            <w:bottom w:w="20" w:type="dxa"/>
            <w:right w:w="20" w:type="dxa"/>
          </w:tblCellMar>
        </w:tblPrEx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5F41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5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6135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 </w:t>
            </w:r>
          </w:p>
        </w:tc>
      </w:tr>
      <w:tr w14:paraId="4997869C">
        <w:tblPrEx>
          <w:tblCellMar>
            <w:top w:w="20" w:type="dxa"/>
            <w:left w:w="20" w:type="dxa"/>
            <w:bottom w:w="20" w:type="dxa"/>
            <w:right w:w="20" w:type="dxa"/>
          </w:tblCellMar>
        </w:tblPrEx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9579B0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Наименование документов, подтверждающих соответствие требованиям к участникам процедуры закупки</w:t>
            </w:r>
          </w:p>
        </w:tc>
        <w:tc>
          <w:tcPr>
            <w:tcW w:w="5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0E3940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Соответствие требованиям к участникам должен подтвердить поставщик (подрядчик, исполнитель), получивший от заказчика предложение о заключении договора.</w:t>
            </w:r>
          </w:p>
          <w:p w14:paraId="45B23EE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Допускается включение документов, подтверждающих соответствие требованиям к участникам, в состав документов и (или) сведений, предоставляемых поставщиками (подрядчиками, исполнителями) в ответ на запрос о предоставлении сведений в целях изучения конъюнктуры рынка для проведения процедуры закупки из одного источника.</w:t>
            </w:r>
          </w:p>
          <w:p w14:paraId="62253C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Если заявление будет датировано ранее чем за пять рабочих дней до даты заключения договора, участник процедуры государственной закупки будет обязан предоставить его повторно, с актуальной датой</w:t>
            </w:r>
          </w:p>
        </w:tc>
      </w:tr>
    </w:tbl>
    <w:p w14:paraId="272C5DBC">
      <w:pPr>
        <w:rPr>
          <w:color w:val="000000"/>
          <w:sz w:val="24"/>
          <w:szCs w:val="24"/>
        </w:rPr>
      </w:pPr>
      <w:bookmarkStart w:id="5" w:name="28"/>
      <w:bookmarkEnd w:id="5"/>
      <w:r>
        <w:rPr>
          <w:color w:val="000000"/>
          <w:sz w:val="24"/>
          <w:szCs w:val="24"/>
        </w:rPr>
        <w:t> </w:t>
      </w:r>
      <w:bookmarkStart w:id="6" w:name="29"/>
      <w:bookmarkEnd w:id="6"/>
    </w:p>
    <w:p w14:paraId="76086F90">
      <w:pPr>
        <w:ind w:firstLine="709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VII. Договор</w:t>
      </w:r>
    </w:p>
    <w:p w14:paraId="3CACE1E5">
      <w:pPr>
        <w:widowControl/>
        <w:ind w:firstLine="709"/>
        <w:jc w:val="both"/>
        <w:rPr>
          <w:color w:val="000000"/>
          <w:sz w:val="24"/>
          <w:szCs w:val="24"/>
        </w:rPr>
      </w:pPr>
      <w:bookmarkStart w:id="7" w:name="30"/>
      <w:bookmarkEnd w:id="7"/>
      <w:r>
        <w:rPr>
          <w:color w:val="000000"/>
          <w:sz w:val="24"/>
          <w:szCs w:val="24"/>
        </w:rPr>
        <w:t xml:space="preserve">Договор заключается на условиях, согласованных между заказчиком и выбранным поставщиком (подрядчиком, исполнителем), в письменной форме. </w:t>
      </w:r>
    </w:p>
    <w:p w14:paraId="5E2A8719">
      <w:pPr>
        <w:spacing w:line="360" w:lineRule="auto"/>
        <w:jc w:val="both"/>
        <w:rPr>
          <w:bCs/>
          <w:sz w:val="24"/>
          <w:szCs w:val="24"/>
        </w:rPr>
      </w:pPr>
      <w:bookmarkStart w:id="8" w:name="31"/>
      <w:bookmarkEnd w:id="8"/>
    </w:p>
    <w:bookmarkEnd w:id="0"/>
    <w:p w14:paraId="75F428A1">
      <w:pPr>
        <w:jc w:val="both"/>
        <w:rPr>
          <w:rFonts w:hint="default"/>
          <w:b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/>
          <w:bCs/>
          <w:sz w:val="24"/>
          <w:szCs w:val="24"/>
          <w:lang w:val="ru-RU"/>
        </w:rPr>
        <w:t xml:space="preserve"> Зам.директора по ПКиИР                                                                                  </w:t>
      </w:r>
      <w:bookmarkStart w:id="9" w:name="_GoBack"/>
      <w:bookmarkEnd w:id="9"/>
      <w:r>
        <w:rPr>
          <w:rFonts w:hint="default"/>
          <w:bCs/>
          <w:sz w:val="24"/>
          <w:szCs w:val="24"/>
          <w:lang w:val="ru-RU"/>
        </w:rPr>
        <w:t xml:space="preserve">          И.Д,Датов</w:t>
      </w:r>
    </w:p>
    <w:sectPr>
      <w:headerReference r:id="rId3" w:type="default"/>
      <w:type w:val="continuous"/>
      <w:pgSz w:w="11909" w:h="16834"/>
      <w:pgMar w:top="284" w:right="680" w:bottom="284" w:left="709" w:header="720" w:footer="720" w:gutter="0"/>
      <w:cols w:space="60" w:num="1"/>
      <w:titlePg/>
      <w:docGrid w:linePitch="27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3363909"/>
      <w:docPartObj>
        <w:docPartGallery w:val="AutoText"/>
      </w:docPartObj>
    </w:sdtPr>
    <w:sdtEndPr>
      <w:rPr>
        <w:sz w:val="22"/>
        <w:szCs w:val="22"/>
      </w:rPr>
    </w:sdtEndPr>
    <w:sdtContent>
      <w:p w14:paraId="364A09BB">
        <w:pPr>
          <w:pStyle w:val="16"/>
          <w:jc w:val="center"/>
          <w:rPr>
            <w:sz w:val="22"/>
            <w:szCs w:val="22"/>
          </w:rPr>
        </w:pPr>
        <w:r>
          <w:rPr>
            <w:sz w:val="22"/>
            <w:szCs w:val="22"/>
          </w:rPr>
          <w:fldChar w:fldCharType="begin"/>
        </w:r>
        <w:r>
          <w:rPr>
            <w:sz w:val="22"/>
            <w:szCs w:val="22"/>
          </w:rPr>
          <w:instrText xml:space="preserve">PAGE   \* MERGEFORMAT</w:instrText>
        </w:r>
        <w:r>
          <w:rPr>
            <w:sz w:val="22"/>
            <w:szCs w:val="22"/>
          </w:rPr>
          <w:fldChar w:fldCharType="separate"/>
        </w:r>
        <w:r>
          <w:rPr>
            <w:sz w:val="22"/>
            <w:szCs w:val="22"/>
          </w:rPr>
          <w:t>2</w:t>
        </w:r>
        <w:r>
          <w:rPr>
            <w:sz w:val="22"/>
            <w:szCs w:val="22"/>
          </w:rPr>
          <w:fldChar w:fldCharType="end"/>
        </w:r>
      </w:p>
    </w:sdtContent>
  </w:sdt>
  <w:p w14:paraId="73CB4CA9">
    <w:pPr>
      <w:pStyle w:val="1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20"/>
  <w:doNotHyphenateCaps/>
  <w:drawingGridHorizontalSpacing w:val="120"/>
  <w:drawingGridVerticalSpacing w:val="120"/>
  <w:displayHorizontalDrawingGridEvery w:val="1"/>
  <w:displayVerticalDrawingGridEvery w:val="1"/>
  <w:doNotUseMarginsForDrawingGridOrigin w:val="1"/>
  <w:drawingGridHorizontalOrigin w:val="1800"/>
  <w:drawingGridVerticalOrigin w:val="1440"/>
  <w:doNotShadeFormData w:val="1"/>
  <w:noPunctuationKerning w:val="1"/>
  <w:characterSpacingControl w:val="compressPunctuation"/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C8F"/>
    <w:rsid w:val="00003703"/>
    <w:rsid w:val="00004A82"/>
    <w:rsid w:val="00005B60"/>
    <w:rsid w:val="000109AA"/>
    <w:rsid w:val="00013CA0"/>
    <w:rsid w:val="00016627"/>
    <w:rsid w:val="0002459A"/>
    <w:rsid w:val="000248B7"/>
    <w:rsid w:val="000266B2"/>
    <w:rsid w:val="00027644"/>
    <w:rsid w:val="00030F97"/>
    <w:rsid w:val="000327F6"/>
    <w:rsid w:val="00032AF1"/>
    <w:rsid w:val="0003387A"/>
    <w:rsid w:val="00033EB7"/>
    <w:rsid w:val="00034015"/>
    <w:rsid w:val="00034043"/>
    <w:rsid w:val="00034489"/>
    <w:rsid w:val="0003610A"/>
    <w:rsid w:val="000421A1"/>
    <w:rsid w:val="0004260A"/>
    <w:rsid w:val="00043EFE"/>
    <w:rsid w:val="000440A6"/>
    <w:rsid w:val="00047740"/>
    <w:rsid w:val="00051BDE"/>
    <w:rsid w:val="00051E11"/>
    <w:rsid w:val="000523ED"/>
    <w:rsid w:val="000526D8"/>
    <w:rsid w:val="000538FD"/>
    <w:rsid w:val="00054D4F"/>
    <w:rsid w:val="000553B4"/>
    <w:rsid w:val="000578F4"/>
    <w:rsid w:val="00057A7E"/>
    <w:rsid w:val="00061D1C"/>
    <w:rsid w:val="00062CC8"/>
    <w:rsid w:val="00063C6F"/>
    <w:rsid w:val="00067348"/>
    <w:rsid w:val="00071E68"/>
    <w:rsid w:val="00075AD0"/>
    <w:rsid w:val="0007644C"/>
    <w:rsid w:val="00077A2D"/>
    <w:rsid w:val="00080780"/>
    <w:rsid w:val="00083DCA"/>
    <w:rsid w:val="000869DF"/>
    <w:rsid w:val="00092ED1"/>
    <w:rsid w:val="00097204"/>
    <w:rsid w:val="000A10BC"/>
    <w:rsid w:val="000A32CA"/>
    <w:rsid w:val="000A36A4"/>
    <w:rsid w:val="000A709B"/>
    <w:rsid w:val="000B35F4"/>
    <w:rsid w:val="000B3830"/>
    <w:rsid w:val="000B3DA2"/>
    <w:rsid w:val="000B4574"/>
    <w:rsid w:val="000B5AEC"/>
    <w:rsid w:val="000B7962"/>
    <w:rsid w:val="000C2094"/>
    <w:rsid w:val="000C3AD8"/>
    <w:rsid w:val="000C561B"/>
    <w:rsid w:val="000C58E9"/>
    <w:rsid w:val="000D6A74"/>
    <w:rsid w:val="000D6BD1"/>
    <w:rsid w:val="000D703B"/>
    <w:rsid w:val="000E0B1D"/>
    <w:rsid w:val="000E506A"/>
    <w:rsid w:val="000E525B"/>
    <w:rsid w:val="000E768F"/>
    <w:rsid w:val="000F0BEE"/>
    <w:rsid w:val="000F1089"/>
    <w:rsid w:val="000F39CF"/>
    <w:rsid w:val="000F4051"/>
    <w:rsid w:val="000F48BE"/>
    <w:rsid w:val="000F517D"/>
    <w:rsid w:val="000F6D57"/>
    <w:rsid w:val="001001CB"/>
    <w:rsid w:val="00102A56"/>
    <w:rsid w:val="00106E69"/>
    <w:rsid w:val="001073B6"/>
    <w:rsid w:val="0011266F"/>
    <w:rsid w:val="001149FD"/>
    <w:rsid w:val="00114EB6"/>
    <w:rsid w:val="001150F7"/>
    <w:rsid w:val="001167F0"/>
    <w:rsid w:val="001211C4"/>
    <w:rsid w:val="00121AF7"/>
    <w:rsid w:val="001223DE"/>
    <w:rsid w:val="00122EC5"/>
    <w:rsid w:val="00123EDF"/>
    <w:rsid w:val="0012575F"/>
    <w:rsid w:val="00126665"/>
    <w:rsid w:val="00126A42"/>
    <w:rsid w:val="00135E91"/>
    <w:rsid w:val="0014116F"/>
    <w:rsid w:val="001416CA"/>
    <w:rsid w:val="00141920"/>
    <w:rsid w:val="001459DF"/>
    <w:rsid w:val="001477C6"/>
    <w:rsid w:val="00151A77"/>
    <w:rsid w:val="00152CE3"/>
    <w:rsid w:val="00153F47"/>
    <w:rsid w:val="00157F87"/>
    <w:rsid w:val="00162440"/>
    <w:rsid w:val="00163F24"/>
    <w:rsid w:val="00173E8B"/>
    <w:rsid w:val="001741B2"/>
    <w:rsid w:val="00175BC7"/>
    <w:rsid w:val="001813CC"/>
    <w:rsid w:val="00182E70"/>
    <w:rsid w:val="00184063"/>
    <w:rsid w:val="00185222"/>
    <w:rsid w:val="001854A0"/>
    <w:rsid w:val="00187057"/>
    <w:rsid w:val="00187376"/>
    <w:rsid w:val="0018748B"/>
    <w:rsid w:val="00187976"/>
    <w:rsid w:val="0019135D"/>
    <w:rsid w:val="00194DD2"/>
    <w:rsid w:val="00195C7F"/>
    <w:rsid w:val="00196070"/>
    <w:rsid w:val="0019747A"/>
    <w:rsid w:val="001A1798"/>
    <w:rsid w:val="001A1BBE"/>
    <w:rsid w:val="001A550F"/>
    <w:rsid w:val="001A7B46"/>
    <w:rsid w:val="001B5F1F"/>
    <w:rsid w:val="001B6416"/>
    <w:rsid w:val="001B659E"/>
    <w:rsid w:val="001B6E7F"/>
    <w:rsid w:val="001B7F97"/>
    <w:rsid w:val="001C1B91"/>
    <w:rsid w:val="001C2F30"/>
    <w:rsid w:val="001C2F69"/>
    <w:rsid w:val="001C4262"/>
    <w:rsid w:val="001C4CB1"/>
    <w:rsid w:val="001C5A19"/>
    <w:rsid w:val="001C71D3"/>
    <w:rsid w:val="001C7B03"/>
    <w:rsid w:val="001D0ABC"/>
    <w:rsid w:val="001D1267"/>
    <w:rsid w:val="001D16A3"/>
    <w:rsid w:val="001D47EF"/>
    <w:rsid w:val="001E064E"/>
    <w:rsid w:val="001E5116"/>
    <w:rsid w:val="001E5FA6"/>
    <w:rsid w:val="001E686C"/>
    <w:rsid w:val="001E6FA2"/>
    <w:rsid w:val="001F08E7"/>
    <w:rsid w:val="001F2210"/>
    <w:rsid w:val="001F2778"/>
    <w:rsid w:val="001F2786"/>
    <w:rsid w:val="001F291D"/>
    <w:rsid w:val="001F6CB9"/>
    <w:rsid w:val="00203A55"/>
    <w:rsid w:val="00205049"/>
    <w:rsid w:val="002052AC"/>
    <w:rsid w:val="00205A40"/>
    <w:rsid w:val="00207C3E"/>
    <w:rsid w:val="002114E2"/>
    <w:rsid w:val="00211FDF"/>
    <w:rsid w:val="0022059D"/>
    <w:rsid w:val="00221A35"/>
    <w:rsid w:val="002227D5"/>
    <w:rsid w:val="00223146"/>
    <w:rsid w:val="00225CDB"/>
    <w:rsid w:val="00230FD6"/>
    <w:rsid w:val="00231ED8"/>
    <w:rsid w:val="00232155"/>
    <w:rsid w:val="00232D9E"/>
    <w:rsid w:val="002339B4"/>
    <w:rsid w:val="002343A1"/>
    <w:rsid w:val="0023441D"/>
    <w:rsid w:val="00234846"/>
    <w:rsid w:val="00234DB0"/>
    <w:rsid w:val="00235D3E"/>
    <w:rsid w:val="002363E8"/>
    <w:rsid w:val="00237B8C"/>
    <w:rsid w:val="0024055F"/>
    <w:rsid w:val="00241226"/>
    <w:rsid w:val="0024123B"/>
    <w:rsid w:val="0024193C"/>
    <w:rsid w:val="00241BCD"/>
    <w:rsid w:val="00242C46"/>
    <w:rsid w:val="00242D77"/>
    <w:rsid w:val="00243413"/>
    <w:rsid w:val="00244045"/>
    <w:rsid w:val="002451D0"/>
    <w:rsid w:val="0024621E"/>
    <w:rsid w:val="00247D0F"/>
    <w:rsid w:val="00250C76"/>
    <w:rsid w:val="002522E2"/>
    <w:rsid w:val="00253D4D"/>
    <w:rsid w:val="00254383"/>
    <w:rsid w:val="002563D0"/>
    <w:rsid w:val="00256759"/>
    <w:rsid w:val="00256CCE"/>
    <w:rsid w:val="00261406"/>
    <w:rsid w:val="002661EA"/>
    <w:rsid w:val="00266C29"/>
    <w:rsid w:val="00270D46"/>
    <w:rsid w:val="00271DEA"/>
    <w:rsid w:val="002734CD"/>
    <w:rsid w:val="002750DC"/>
    <w:rsid w:val="00275472"/>
    <w:rsid w:val="00277354"/>
    <w:rsid w:val="00280FD7"/>
    <w:rsid w:val="00281F9A"/>
    <w:rsid w:val="00282E61"/>
    <w:rsid w:val="00283F9A"/>
    <w:rsid w:val="00290E1F"/>
    <w:rsid w:val="00294DF1"/>
    <w:rsid w:val="00295EDC"/>
    <w:rsid w:val="0029799F"/>
    <w:rsid w:val="002A190C"/>
    <w:rsid w:val="002A1962"/>
    <w:rsid w:val="002A2329"/>
    <w:rsid w:val="002A2568"/>
    <w:rsid w:val="002A25EF"/>
    <w:rsid w:val="002A649B"/>
    <w:rsid w:val="002B0D0F"/>
    <w:rsid w:val="002B1244"/>
    <w:rsid w:val="002B4D4E"/>
    <w:rsid w:val="002B4E30"/>
    <w:rsid w:val="002B699D"/>
    <w:rsid w:val="002B6D34"/>
    <w:rsid w:val="002C03B4"/>
    <w:rsid w:val="002C079D"/>
    <w:rsid w:val="002C15FB"/>
    <w:rsid w:val="002C66C3"/>
    <w:rsid w:val="002D1B96"/>
    <w:rsid w:val="002D1F29"/>
    <w:rsid w:val="002D2848"/>
    <w:rsid w:val="002D3DEA"/>
    <w:rsid w:val="002D595E"/>
    <w:rsid w:val="002D6874"/>
    <w:rsid w:val="002E0751"/>
    <w:rsid w:val="002E2414"/>
    <w:rsid w:val="002E2929"/>
    <w:rsid w:val="002E2C10"/>
    <w:rsid w:val="002E3019"/>
    <w:rsid w:val="002E4F9A"/>
    <w:rsid w:val="002E518E"/>
    <w:rsid w:val="002E68B0"/>
    <w:rsid w:val="002E749D"/>
    <w:rsid w:val="002F288E"/>
    <w:rsid w:val="002F44E6"/>
    <w:rsid w:val="002F61F8"/>
    <w:rsid w:val="002F74ED"/>
    <w:rsid w:val="003021BB"/>
    <w:rsid w:val="00302C75"/>
    <w:rsid w:val="0030339C"/>
    <w:rsid w:val="00305F47"/>
    <w:rsid w:val="003060BF"/>
    <w:rsid w:val="003125F1"/>
    <w:rsid w:val="00314615"/>
    <w:rsid w:val="00314DAF"/>
    <w:rsid w:val="0031675B"/>
    <w:rsid w:val="003177EA"/>
    <w:rsid w:val="00320869"/>
    <w:rsid w:val="003217D2"/>
    <w:rsid w:val="00327B51"/>
    <w:rsid w:val="00327B8B"/>
    <w:rsid w:val="00331681"/>
    <w:rsid w:val="00334CF9"/>
    <w:rsid w:val="00337202"/>
    <w:rsid w:val="00342522"/>
    <w:rsid w:val="00343744"/>
    <w:rsid w:val="003437F2"/>
    <w:rsid w:val="0034635D"/>
    <w:rsid w:val="00346FC1"/>
    <w:rsid w:val="00347889"/>
    <w:rsid w:val="00350C38"/>
    <w:rsid w:val="00350DBD"/>
    <w:rsid w:val="00351BD3"/>
    <w:rsid w:val="0035362B"/>
    <w:rsid w:val="003552FB"/>
    <w:rsid w:val="00356BE7"/>
    <w:rsid w:val="0035756A"/>
    <w:rsid w:val="00361FA0"/>
    <w:rsid w:val="0036352A"/>
    <w:rsid w:val="0036355F"/>
    <w:rsid w:val="00363D7E"/>
    <w:rsid w:val="003658A4"/>
    <w:rsid w:val="00373D2E"/>
    <w:rsid w:val="00381849"/>
    <w:rsid w:val="00381CE3"/>
    <w:rsid w:val="00387518"/>
    <w:rsid w:val="00397910"/>
    <w:rsid w:val="003A0AC3"/>
    <w:rsid w:val="003A0FB2"/>
    <w:rsid w:val="003A1DDE"/>
    <w:rsid w:val="003A2724"/>
    <w:rsid w:val="003A2FF7"/>
    <w:rsid w:val="003A39A3"/>
    <w:rsid w:val="003A423C"/>
    <w:rsid w:val="003A439C"/>
    <w:rsid w:val="003A4700"/>
    <w:rsid w:val="003A5A3C"/>
    <w:rsid w:val="003B075D"/>
    <w:rsid w:val="003B739D"/>
    <w:rsid w:val="003B7C82"/>
    <w:rsid w:val="003C152E"/>
    <w:rsid w:val="003C16F8"/>
    <w:rsid w:val="003C3B40"/>
    <w:rsid w:val="003C3DBA"/>
    <w:rsid w:val="003C4EEE"/>
    <w:rsid w:val="003C7351"/>
    <w:rsid w:val="003D260A"/>
    <w:rsid w:val="003D4D74"/>
    <w:rsid w:val="003D4D84"/>
    <w:rsid w:val="003D5832"/>
    <w:rsid w:val="003D64E9"/>
    <w:rsid w:val="003E0A36"/>
    <w:rsid w:val="003E0B3B"/>
    <w:rsid w:val="003E4BC7"/>
    <w:rsid w:val="003E59E1"/>
    <w:rsid w:val="003F1047"/>
    <w:rsid w:val="003F1848"/>
    <w:rsid w:val="003F3226"/>
    <w:rsid w:val="004019AF"/>
    <w:rsid w:val="00402FB3"/>
    <w:rsid w:val="00403CA1"/>
    <w:rsid w:val="00405DE3"/>
    <w:rsid w:val="00406610"/>
    <w:rsid w:val="00407B77"/>
    <w:rsid w:val="00407E65"/>
    <w:rsid w:val="004157CE"/>
    <w:rsid w:val="00415C09"/>
    <w:rsid w:val="004165B6"/>
    <w:rsid w:val="00420441"/>
    <w:rsid w:val="00420758"/>
    <w:rsid w:val="0042311D"/>
    <w:rsid w:val="004232D5"/>
    <w:rsid w:val="00424570"/>
    <w:rsid w:val="0043042B"/>
    <w:rsid w:val="00430D78"/>
    <w:rsid w:val="0043114A"/>
    <w:rsid w:val="004325A6"/>
    <w:rsid w:val="0043343A"/>
    <w:rsid w:val="00437820"/>
    <w:rsid w:val="00441445"/>
    <w:rsid w:val="00442D2D"/>
    <w:rsid w:val="00443C0E"/>
    <w:rsid w:val="00445FDC"/>
    <w:rsid w:val="00447C58"/>
    <w:rsid w:val="0045003A"/>
    <w:rsid w:val="0045262A"/>
    <w:rsid w:val="00453909"/>
    <w:rsid w:val="00454BED"/>
    <w:rsid w:val="004565B3"/>
    <w:rsid w:val="00456ECE"/>
    <w:rsid w:val="004607A4"/>
    <w:rsid w:val="004610A0"/>
    <w:rsid w:val="00464BED"/>
    <w:rsid w:val="0046611C"/>
    <w:rsid w:val="004674A8"/>
    <w:rsid w:val="00471967"/>
    <w:rsid w:val="0047219E"/>
    <w:rsid w:val="0047341A"/>
    <w:rsid w:val="0047579B"/>
    <w:rsid w:val="004764CB"/>
    <w:rsid w:val="00480590"/>
    <w:rsid w:val="00485AF5"/>
    <w:rsid w:val="00486AAD"/>
    <w:rsid w:val="00487344"/>
    <w:rsid w:val="0048737F"/>
    <w:rsid w:val="00490D0E"/>
    <w:rsid w:val="004910BB"/>
    <w:rsid w:val="00492889"/>
    <w:rsid w:val="00492E33"/>
    <w:rsid w:val="00493E6A"/>
    <w:rsid w:val="00495007"/>
    <w:rsid w:val="00495341"/>
    <w:rsid w:val="004979D8"/>
    <w:rsid w:val="004A1E19"/>
    <w:rsid w:val="004A3479"/>
    <w:rsid w:val="004A7092"/>
    <w:rsid w:val="004A7777"/>
    <w:rsid w:val="004B034A"/>
    <w:rsid w:val="004B0B17"/>
    <w:rsid w:val="004B1E04"/>
    <w:rsid w:val="004B46E6"/>
    <w:rsid w:val="004B7040"/>
    <w:rsid w:val="004C010B"/>
    <w:rsid w:val="004C2B03"/>
    <w:rsid w:val="004C6147"/>
    <w:rsid w:val="004C6BBC"/>
    <w:rsid w:val="004C7792"/>
    <w:rsid w:val="004D12D0"/>
    <w:rsid w:val="004D1552"/>
    <w:rsid w:val="004D16BB"/>
    <w:rsid w:val="004D2C97"/>
    <w:rsid w:val="004D35AE"/>
    <w:rsid w:val="004D37FC"/>
    <w:rsid w:val="004E1765"/>
    <w:rsid w:val="004E47FA"/>
    <w:rsid w:val="004E6255"/>
    <w:rsid w:val="004E6BD3"/>
    <w:rsid w:val="004F5703"/>
    <w:rsid w:val="004F6ECB"/>
    <w:rsid w:val="004F7BB1"/>
    <w:rsid w:val="005021C5"/>
    <w:rsid w:val="0050271F"/>
    <w:rsid w:val="00503493"/>
    <w:rsid w:val="00504566"/>
    <w:rsid w:val="00504A11"/>
    <w:rsid w:val="00505180"/>
    <w:rsid w:val="005055C5"/>
    <w:rsid w:val="005057B5"/>
    <w:rsid w:val="00505D7C"/>
    <w:rsid w:val="00507318"/>
    <w:rsid w:val="00507BB8"/>
    <w:rsid w:val="00510F8E"/>
    <w:rsid w:val="00516517"/>
    <w:rsid w:val="00520B2A"/>
    <w:rsid w:val="005333C1"/>
    <w:rsid w:val="005342F8"/>
    <w:rsid w:val="00534D1F"/>
    <w:rsid w:val="00535339"/>
    <w:rsid w:val="00536611"/>
    <w:rsid w:val="0053781D"/>
    <w:rsid w:val="005449D1"/>
    <w:rsid w:val="00547D6D"/>
    <w:rsid w:val="00550C12"/>
    <w:rsid w:val="005537B7"/>
    <w:rsid w:val="0055575E"/>
    <w:rsid w:val="00555F6E"/>
    <w:rsid w:val="005567B2"/>
    <w:rsid w:val="00557513"/>
    <w:rsid w:val="005641D6"/>
    <w:rsid w:val="0056481B"/>
    <w:rsid w:val="00564B76"/>
    <w:rsid w:val="005651CB"/>
    <w:rsid w:val="00566812"/>
    <w:rsid w:val="00566D1B"/>
    <w:rsid w:val="00566E6F"/>
    <w:rsid w:val="00567043"/>
    <w:rsid w:val="0057481A"/>
    <w:rsid w:val="00577B9D"/>
    <w:rsid w:val="00582517"/>
    <w:rsid w:val="00584416"/>
    <w:rsid w:val="00586070"/>
    <w:rsid w:val="0058673E"/>
    <w:rsid w:val="00587ED3"/>
    <w:rsid w:val="00591913"/>
    <w:rsid w:val="00593F43"/>
    <w:rsid w:val="005940FF"/>
    <w:rsid w:val="00597EC7"/>
    <w:rsid w:val="005A053D"/>
    <w:rsid w:val="005A09EF"/>
    <w:rsid w:val="005A2C86"/>
    <w:rsid w:val="005A693C"/>
    <w:rsid w:val="005A779D"/>
    <w:rsid w:val="005B1C81"/>
    <w:rsid w:val="005B2630"/>
    <w:rsid w:val="005B3E53"/>
    <w:rsid w:val="005B4746"/>
    <w:rsid w:val="005B5A09"/>
    <w:rsid w:val="005B5E14"/>
    <w:rsid w:val="005B63B2"/>
    <w:rsid w:val="005B72A7"/>
    <w:rsid w:val="005B77FF"/>
    <w:rsid w:val="005C3750"/>
    <w:rsid w:val="005C5E80"/>
    <w:rsid w:val="005D05A4"/>
    <w:rsid w:val="005D3287"/>
    <w:rsid w:val="005D57A6"/>
    <w:rsid w:val="005D64FC"/>
    <w:rsid w:val="005D7868"/>
    <w:rsid w:val="005E1325"/>
    <w:rsid w:val="005E392B"/>
    <w:rsid w:val="005E770B"/>
    <w:rsid w:val="005F07E0"/>
    <w:rsid w:val="005F441E"/>
    <w:rsid w:val="005F5F43"/>
    <w:rsid w:val="005F6041"/>
    <w:rsid w:val="005F77AD"/>
    <w:rsid w:val="00600BAA"/>
    <w:rsid w:val="00601044"/>
    <w:rsid w:val="00601098"/>
    <w:rsid w:val="00601124"/>
    <w:rsid w:val="00601A94"/>
    <w:rsid w:val="006026B6"/>
    <w:rsid w:val="00606936"/>
    <w:rsid w:val="006079A4"/>
    <w:rsid w:val="00610584"/>
    <w:rsid w:val="0061441D"/>
    <w:rsid w:val="00615974"/>
    <w:rsid w:val="006209C9"/>
    <w:rsid w:val="00625EBB"/>
    <w:rsid w:val="006270E5"/>
    <w:rsid w:val="00627509"/>
    <w:rsid w:val="00630A9F"/>
    <w:rsid w:val="00631ACB"/>
    <w:rsid w:val="00631EA6"/>
    <w:rsid w:val="00632E00"/>
    <w:rsid w:val="0063354A"/>
    <w:rsid w:val="0063361C"/>
    <w:rsid w:val="00635306"/>
    <w:rsid w:val="006355B6"/>
    <w:rsid w:val="00641786"/>
    <w:rsid w:val="0064218B"/>
    <w:rsid w:val="006538A4"/>
    <w:rsid w:val="00654888"/>
    <w:rsid w:val="0065576C"/>
    <w:rsid w:val="00657E7C"/>
    <w:rsid w:val="00660A19"/>
    <w:rsid w:val="00660FB8"/>
    <w:rsid w:val="00661813"/>
    <w:rsid w:val="006652BC"/>
    <w:rsid w:val="0066567E"/>
    <w:rsid w:val="0066717B"/>
    <w:rsid w:val="0066786B"/>
    <w:rsid w:val="006704AC"/>
    <w:rsid w:val="00671E78"/>
    <w:rsid w:val="00671EFA"/>
    <w:rsid w:val="00673CCA"/>
    <w:rsid w:val="00674118"/>
    <w:rsid w:val="00680150"/>
    <w:rsid w:val="006806F4"/>
    <w:rsid w:val="00681140"/>
    <w:rsid w:val="0068416F"/>
    <w:rsid w:val="00684974"/>
    <w:rsid w:val="00685710"/>
    <w:rsid w:val="00692793"/>
    <w:rsid w:val="006937FF"/>
    <w:rsid w:val="0069391A"/>
    <w:rsid w:val="00695736"/>
    <w:rsid w:val="00697191"/>
    <w:rsid w:val="006A4D01"/>
    <w:rsid w:val="006A58B3"/>
    <w:rsid w:val="006A65CB"/>
    <w:rsid w:val="006A72BC"/>
    <w:rsid w:val="006A77BE"/>
    <w:rsid w:val="006A780A"/>
    <w:rsid w:val="006A7E78"/>
    <w:rsid w:val="006B3BCD"/>
    <w:rsid w:val="006B573E"/>
    <w:rsid w:val="006B74DF"/>
    <w:rsid w:val="006B778F"/>
    <w:rsid w:val="006C09F4"/>
    <w:rsid w:val="006C1570"/>
    <w:rsid w:val="006D05CD"/>
    <w:rsid w:val="006D139F"/>
    <w:rsid w:val="006D2F60"/>
    <w:rsid w:val="006D6F39"/>
    <w:rsid w:val="006D7502"/>
    <w:rsid w:val="006E5A8C"/>
    <w:rsid w:val="006E7BCB"/>
    <w:rsid w:val="006F2D34"/>
    <w:rsid w:val="006F4C71"/>
    <w:rsid w:val="006F54F6"/>
    <w:rsid w:val="006F7C20"/>
    <w:rsid w:val="00700855"/>
    <w:rsid w:val="00702E89"/>
    <w:rsid w:val="00707E47"/>
    <w:rsid w:val="007103AA"/>
    <w:rsid w:val="00713C21"/>
    <w:rsid w:val="00716BC5"/>
    <w:rsid w:val="007178E0"/>
    <w:rsid w:val="00721509"/>
    <w:rsid w:val="00724977"/>
    <w:rsid w:val="00730262"/>
    <w:rsid w:val="007322B5"/>
    <w:rsid w:val="00732550"/>
    <w:rsid w:val="00734A98"/>
    <w:rsid w:val="00735D09"/>
    <w:rsid w:val="00737687"/>
    <w:rsid w:val="00740880"/>
    <w:rsid w:val="00740AC0"/>
    <w:rsid w:val="00742593"/>
    <w:rsid w:val="00744E6E"/>
    <w:rsid w:val="0074666E"/>
    <w:rsid w:val="00751C1A"/>
    <w:rsid w:val="00756189"/>
    <w:rsid w:val="0075659A"/>
    <w:rsid w:val="007572A3"/>
    <w:rsid w:val="007574D6"/>
    <w:rsid w:val="00757938"/>
    <w:rsid w:val="0075794D"/>
    <w:rsid w:val="00760F82"/>
    <w:rsid w:val="00762C8F"/>
    <w:rsid w:val="00762DE6"/>
    <w:rsid w:val="007639CF"/>
    <w:rsid w:val="00765CB8"/>
    <w:rsid w:val="00776A61"/>
    <w:rsid w:val="00776B97"/>
    <w:rsid w:val="00781783"/>
    <w:rsid w:val="0078193B"/>
    <w:rsid w:val="007870B7"/>
    <w:rsid w:val="00793DA5"/>
    <w:rsid w:val="007940F0"/>
    <w:rsid w:val="00796178"/>
    <w:rsid w:val="007965BC"/>
    <w:rsid w:val="00796BE2"/>
    <w:rsid w:val="007A178F"/>
    <w:rsid w:val="007A1BB5"/>
    <w:rsid w:val="007A37EA"/>
    <w:rsid w:val="007A53D0"/>
    <w:rsid w:val="007A5FAC"/>
    <w:rsid w:val="007B0D7F"/>
    <w:rsid w:val="007B1034"/>
    <w:rsid w:val="007B1F88"/>
    <w:rsid w:val="007B69DD"/>
    <w:rsid w:val="007B6A62"/>
    <w:rsid w:val="007B6DC0"/>
    <w:rsid w:val="007C0F92"/>
    <w:rsid w:val="007C1DB0"/>
    <w:rsid w:val="007C46D4"/>
    <w:rsid w:val="007C6FDA"/>
    <w:rsid w:val="007D1070"/>
    <w:rsid w:val="007D2E41"/>
    <w:rsid w:val="007D39AF"/>
    <w:rsid w:val="007D3C63"/>
    <w:rsid w:val="007D6D4D"/>
    <w:rsid w:val="007D7301"/>
    <w:rsid w:val="007D7C26"/>
    <w:rsid w:val="007E0C00"/>
    <w:rsid w:val="007E283D"/>
    <w:rsid w:val="007E31FD"/>
    <w:rsid w:val="007E3ECB"/>
    <w:rsid w:val="007E481F"/>
    <w:rsid w:val="007F1AA9"/>
    <w:rsid w:val="007F45E6"/>
    <w:rsid w:val="007F787F"/>
    <w:rsid w:val="008008DB"/>
    <w:rsid w:val="00801344"/>
    <w:rsid w:val="0080190B"/>
    <w:rsid w:val="00807C33"/>
    <w:rsid w:val="00807F11"/>
    <w:rsid w:val="008144DA"/>
    <w:rsid w:val="00814D19"/>
    <w:rsid w:val="008162B1"/>
    <w:rsid w:val="008209D9"/>
    <w:rsid w:val="00820AED"/>
    <w:rsid w:val="00821978"/>
    <w:rsid w:val="00825461"/>
    <w:rsid w:val="00825570"/>
    <w:rsid w:val="00826051"/>
    <w:rsid w:val="0082618E"/>
    <w:rsid w:val="0082727C"/>
    <w:rsid w:val="00832467"/>
    <w:rsid w:val="00835DF3"/>
    <w:rsid w:val="008363F0"/>
    <w:rsid w:val="00844C0C"/>
    <w:rsid w:val="00845472"/>
    <w:rsid w:val="00850905"/>
    <w:rsid w:val="008513A0"/>
    <w:rsid w:val="00852562"/>
    <w:rsid w:val="0085279E"/>
    <w:rsid w:val="00856149"/>
    <w:rsid w:val="00857E38"/>
    <w:rsid w:val="008604F6"/>
    <w:rsid w:val="00867F1C"/>
    <w:rsid w:val="008705B0"/>
    <w:rsid w:val="00871837"/>
    <w:rsid w:val="00873833"/>
    <w:rsid w:val="00874AA4"/>
    <w:rsid w:val="00875494"/>
    <w:rsid w:val="00875D98"/>
    <w:rsid w:val="00876EBB"/>
    <w:rsid w:val="00877B1C"/>
    <w:rsid w:val="008805C9"/>
    <w:rsid w:val="0088223B"/>
    <w:rsid w:val="008827EF"/>
    <w:rsid w:val="00885987"/>
    <w:rsid w:val="00885B03"/>
    <w:rsid w:val="00886131"/>
    <w:rsid w:val="00892650"/>
    <w:rsid w:val="0089342F"/>
    <w:rsid w:val="00894690"/>
    <w:rsid w:val="0089516C"/>
    <w:rsid w:val="0089541D"/>
    <w:rsid w:val="00895505"/>
    <w:rsid w:val="00895A9F"/>
    <w:rsid w:val="00896EBA"/>
    <w:rsid w:val="008A03D2"/>
    <w:rsid w:val="008A50E4"/>
    <w:rsid w:val="008B1564"/>
    <w:rsid w:val="008B1746"/>
    <w:rsid w:val="008B4607"/>
    <w:rsid w:val="008B6708"/>
    <w:rsid w:val="008C210B"/>
    <w:rsid w:val="008C53C6"/>
    <w:rsid w:val="008C6915"/>
    <w:rsid w:val="008C7D53"/>
    <w:rsid w:val="008D22A5"/>
    <w:rsid w:val="008D4117"/>
    <w:rsid w:val="008D4FE3"/>
    <w:rsid w:val="008D5F1E"/>
    <w:rsid w:val="008E041E"/>
    <w:rsid w:val="008E0B2C"/>
    <w:rsid w:val="008E177B"/>
    <w:rsid w:val="008E4550"/>
    <w:rsid w:val="008E53EB"/>
    <w:rsid w:val="008E645D"/>
    <w:rsid w:val="008F1F1B"/>
    <w:rsid w:val="008F31D9"/>
    <w:rsid w:val="008F31FD"/>
    <w:rsid w:val="008F488B"/>
    <w:rsid w:val="008F77CE"/>
    <w:rsid w:val="00900CA7"/>
    <w:rsid w:val="00902999"/>
    <w:rsid w:val="009031B1"/>
    <w:rsid w:val="009033F3"/>
    <w:rsid w:val="00904332"/>
    <w:rsid w:val="009046DA"/>
    <w:rsid w:val="00911250"/>
    <w:rsid w:val="009115F8"/>
    <w:rsid w:val="00912345"/>
    <w:rsid w:val="009127F5"/>
    <w:rsid w:val="009141B9"/>
    <w:rsid w:val="00914314"/>
    <w:rsid w:val="00914941"/>
    <w:rsid w:val="0092249B"/>
    <w:rsid w:val="009227DA"/>
    <w:rsid w:val="00923BD8"/>
    <w:rsid w:val="009248D7"/>
    <w:rsid w:val="009258AC"/>
    <w:rsid w:val="00926758"/>
    <w:rsid w:val="0092735A"/>
    <w:rsid w:val="009279FB"/>
    <w:rsid w:val="00927AE9"/>
    <w:rsid w:val="00930406"/>
    <w:rsid w:val="00930B5C"/>
    <w:rsid w:val="00931BA4"/>
    <w:rsid w:val="009330F8"/>
    <w:rsid w:val="00935A04"/>
    <w:rsid w:val="0093684D"/>
    <w:rsid w:val="00941E48"/>
    <w:rsid w:val="00942CCA"/>
    <w:rsid w:val="00943CD0"/>
    <w:rsid w:val="009446BC"/>
    <w:rsid w:val="00944902"/>
    <w:rsid w:val="00945D3A"/>
    <w:rsid w:val="0094692F"/>
    <w:rsid w:val="00946D75"/>
    <w:rsid w:val="00946E34"/>
    <w:rsid w:val="009515F6"/>
    <w:rsid w:val="00951CC6"/>
    <w:rsid w:val="00951FD2"/>
    <w:rsid w:val="0095300E"/>
    <w:rsid w:val="00955B93"/>
    <w:rsid w:val="00956405"/>
    <w:rsid w:val="00957CFC"/>
    <w:rsid w:val="00974CD4"/>
    <w:rsid w:val="00974ED6"/>
    <w:rsid w:val="009814E7"/>
    <w:rsid w:val="00981E3B"/>
    <w:rsid w:val="0098270C"/>
    <w:rsid w:val="00986DC0"/>
    <w:rsid w:val="00990E2E"/>
    <w:rsid w:val="009915E8"/>
    <w:rsid w:val="009919A0"/>
    <w:rsid w:val="009929F1"/>
    <w:rsid w:val="009936CE"/>
    <w:rsid w:val="00993A6C"/>
    <w:rsid w:val="00994E00"/>
    <w:rsid w:val="009951A4"/>
    <w:rsid w:val="0099702F"/>
    <w:rsid w:val="00997130"/>
    <w:rsid w:val="00997EC1"/>
    <w:rsid w:val="009A041F"/>
    <w:rsid w:val="009A4CB1"/>
    <w:rsid w:val="009A5566"/>
    <w:rsid w:val="009A7A6D"/>
    <w:rsid w:val="009B3913"/>
    <w:rsid w:val="009B3CD5"/>
    <w:rsid w:val="009C071C"/>
    <w:rsid w:val="009C185C"/>
    <w:rsid w:val="009C73E3"/>
    <w:rsid w:val="009C76F7"/>
    <w:rsid w:val="009D1717"/>
    <w:rsid w:val="009D1CF5"/>
    <w:rsid w:val="009D2789"/>
    <w:rsid w:val="009D646C"/>
    <w:rsid w:val="009E2A01"/>
    <w:rsid w:val="009E2C3A"/>
    <w:rsid w:val="009E7398"/>
    <w:rsid w:val="009F4249"/>
    <w:rsid w:val="00A0163C"/>
    <w:rsid w:val="00A01B85"/>
    <w:rsid w:val="00A02B1A"/>
    <w:rsid w:val="00A03AEA"/>
    <w:rsid w:val="00A03BE9"/>
    <w:rsid w:val="00A04394"/>
    <w:rsid w:val="00A060C0"/>
    <w:rsid w:val="00A1021D"/>
    <w:rsid w:val="00A11064"/>
    <w:rsid w:val="00A127E3"/>
    <w:rsid w:val="00A135DA"/>
    <w:rsid w:val="00A1584F"/>
    <w:rsid w:val="00A2226A"/>
    <w:rsid w:val="00A2299F"/>
    <w:rsid w:val="00A252FB"/>
    <w:rsid w:val="00A253FF"/>
    <w:rsid w:val="00A25ED5"/>
    <w:rsid w:val="00A268F5"/>
    <w:rsid w:val="00A33394"/>
    <w:rsid w:val="00A370ED"/>
    <w:rsid w:val="00A40BBA"/>
    <w:rsid w:val="00A422AF"/>
    <w:rsid w:val="00A42447"/>
    <w:rsid w:val="00A4262E"/>
    <w:rsid w:val="00A44A82"/>
    <w:rsid w:val="00A500EF"/>
    <w:rsid w:val="00A50305"/>
    <w:rsid w:val="00A506E7"/>
    <w:rsid w:val="00A50DB0"/>
    <w:rsid w:val="00A51DD2"/>
    <w:rsid w:val="00A534FB"/>
    <w:rsid w:val="00A53F79"/>
    <w:rsid w:val="00A54388"/>
    <w:rsid w:val="00A54637"/>
    <w:rsid w:val="00A55079"/>
    <w:rsid w:val="00A55B91"/>
    <w:rsid w:val="00A55ED3"/>
    <w:rsid w:val="00A61BC0"/>
    <w:rsid w:val="00A62124"/>
    <w:rsid w:val="00A62986"/>
    <w:rsid w:val="00A6483C"/>
    <w:rsid w:val="00A64BF3"/>
    <w:rsid w:val="00A6703A"/>
    <w:rsid w:val="00A8050F"/>
    <w:rsid w:val="00A81D26"/>
    <w:rsid w:val="00A8278A"/>
    <w:rsid w:val="00A834D6"/>
    <w:rsid w:val="00A87EE5"/>
    <w:rsid w:val="00A902AC"/>
    <w:rsid w:val="00A95672"/>
    <w:rsid w:val="00A96094"/>
    <w:rsid w:val="00A96AF7"/>
    <w:rsid w:val="00A970CC"/>
    <w:rsid w:val="00AA001B"/>
    <w:rsid w:val="00AA0034"/>
    <w:rsid w:val="00AA2414"/>
    <w:rsid w:val="00AA7029"/>
    <w:rsid w:val="00AB0225"/>
    <w:rsid w:val="00AB1CF3"/>
    <w:rsid w:val="00AB4CCB"/>
    <w:rsid w:val="00AB5699"/>
    <w:rsid w:val="00AC14F2"/>
    <w:rsid w:val="00AC17B6"/>
    <w:rsid w:val="00AC1DCE"/>
    <w:rsid w:val="00AC33C8"/>
    <w:rsid w:val="00AC3A36"/>
    <w:rsid w:val="00AC5E82"/>
    <w:rsid w:val="00AC6960"/>
    <w:rsid w:val="00AC6CF3"/>
    <w:rsid w:val="00AD07B0"/>
    <w:rsid w:val="00AD12B3"/>
    <w:rsid w:val="00AD1906"/>
    <w:rsid w:val="00AD1BF6"/>
    <w:rsid w:val="00AD35CA"/>
    <w:rsid w:val="00AD3A62"/>
    <w:rsid w:val="00AD5100"/>
    <w:rsid w:val="00AD5D1D"/>
    <w:rsid w:val="00AD60DB"/>
    <w:rsid w:val="00AD6CCF"/>
    <w:rsid w:val="00AD7C66"/>
    <w:rsid w:val="00AE373F"/>
    <w:rsid w:val="00AE44CD"/>
    <w:rsid w:val="00AF0CA0"/>
    <w:rsid w:val="00AF1DCD"/>
    <w:rsid w:val="00AF26B0"/>
    <w:rsid w:val="00AF4D8E"/>
    <w:rsid w:val="00AF5E76"/>
    <w:rsid w:val="00AF654B"/>
    <w:rsid w:val="00AF7291"/>
    <w:rsid w:val="00AF730C"/>
    <w:rsid w:val="00AF7760"/>
    <w:rsid w:val="00B00FFC"/>
    <w:rsid w:val="00B0284C"/>
    <w:rsid w:val="00B0391C"/>
    <w:rsid w:val="00B047EA"/>
    <w:rsid w:val="00B0565E"/>
    <w:rsid w:val="00B06C3F"/>
    <w:rsid w:val="00B1260C"/>
    <w:rsid w:val="00B1361C"/>
    <w:rsid w:val="00B1388A"/>
    <w:rsid w:val="00B13D7D"/>
    <w:rsid w:val="00B16883"/>
    <w:rsid w:val="00B17271"/>
    <w:rsid w:val="00B20061"/>
    <w:rsid w:val="00B20185"/>
    <w:rsid w:val="00B215F4"/>
    <w:rsid w:val="00B22B9C"/>
    <w:rsid w:val="00B259D7"/>
    <w:rsid w:val="00B27F90"/>
    <w:rsid w:val="00B33279"/>
    <w:rsid w:val="00B36079"/>
    <w:rsid w:val="00B3667D"/>
    <w:rsid w:val="00B369AE"/>
    <w:rsid w:val="00B37637"/>
    <w:rsid w:val="00B41D37"/>
    <w:rsid w:val="00B444A9"/>
    <w:rsid w:val="00B44870"/>
    <w:rsid w:val="00B46242"/>
    <w:rsid w:val="00B47938"/>
    <w:rsid w:val="00B50F63"/>
    <w:rsid w:val="00B51BFA"/>
    <w:rsid w:val="00B53AE7"/>
    <w:rsid w:val="00B55DE9"/>
    <w:rsid w:val="00B560D4"/>
    <w:rsid w:val="00B56DC4"/>
    <w:rsid w:val="00B600BB"/>
    <w:rsid w:val="00B628D9"/>
    <w:rsid w:val="00B67967"/>
    <w:rsid w:val="00B71543"/>
    <w:rsid w:val="00B74DA5"/>
    <w:rsid w:val="00B76B15"/>
    <w:rsid w:val="00B80399"/>
    <w:rsid w:val="00B81697"/>
    <w:rsid w:val="00B81750"/>
    <w:rsid w:val="00B828FE"/>
    <w:rsid w:val="00B8497E"/>
    <w:rsid w:val="00B86377"/>
    <w:rsid w:val="00B8684A"/>
    <w:rsid w:val="00B86BC5"/>
    <w:rsid w:val="00B871A8"/>
    <w:rsid w:val="00B90905"/>
    <w:rsid w:val="00B94930"/>
    <w:rsid w:val="00B959E7"/>
    <w:rsid w:val="00B9653E"/>
    <w:rsid w:val="00B973F4"/>
    <w:rsid w:val="00BA3E1B"/>
    <w:rsid w:val="00BA5883"/>
    <w:rsid w:val="00BA6A84"/>
    <w:rsid w:val="00BB1A1A"/>
    <w:rsid w:val="00BB2088"/>
    <w:rsid w:val="00BB60F0"/>
    <w:rsid w:val="00BB7439"/>
    <w:rsid w:val="00BC26AA"/>
    <w:rsid w:val="00BC34E5"/>
    <w:rsid w:val="00BC3BE4"/>
    <w:rsid w:val="00BC5D4A"/>
    <w:rsid w:val="00BC5E55"/>
    <w:rsid w:val="00BC621D"/>
    <w:rsid w:val="00BC66B4"/>
    <w:rsid w:val="00BD072A"/>
    <w:rsid w:val="00BD09C7"/>
    <w:rsid w:val="00BD0D43"/>
    <w:rsid w:val="00BD535B"/>
    <w:rsid w:val="00BD5F2E"/>
    <w:rsid w:val="00BD61D8"/>
    <w:rsid w:val="00BD6328"/>
    <w:rsid w:val="00BE107E"/>
    <w:rsid w:val="00BE4A50"/>
    <w:rsid w:val="00BE4BA8"/>
    <w:rsid w:val="00BE5A7F"/>
    <w:rsid w:val="00BF160A"/>
    <w:rsid w:val="00BF1B6B"/>
    <w:rsid w:val="00BF1B7B"/>
    <w:rsid w:val="00BF202B"/>
    <w:rsid w:val="00BF2D9B"/>
    <w:rsid w:val="00BF4AA0"/>
    <w:rsid w:val="00C043EA"/>
    <w:rsid w:val="00C04ED5"/>
    <w:rsid w:val="00C05BA9"/>
    <w:rsid w:val="00C07655"/>
    <w:rsid w:val="00C10010"/>
    <w:rsid w:val="00C10BFE"/>
    <w:rsid w:val="00C14141"/>
    <w:rsid w:val="00C1501E"/>
    <w:rsid w:val="00C15F51"/>
    <w:rsid w:val="00C1651E"/>
    <w:rsid w:val="00C16858"/>
    <w:rsid w:val="00C25731"/>
    <w:rsid w:val="00C26C0A"/>
    <w:rsid w:val="00C27F4E"/>
    <w:rsid w:val="00C3071B"/>
    <w:rsid w:val="00C30A15"/>
    <w:rsid w:val="00C30FCF"/>
    <w:rsid w:val="00C3191B"/>
    <w:rsid w:val="00C31ED5"/>
    <w:rsid w:val="00C31EEB"/>
    <w:rsid w:val="00C3256E"/>
    <w:rsid w:val="00C32E7E"/>
    <w:rsid w:val="00C334D7"/>
    <w:rsid w:val="00C33934"/>
    <w:rsid w:val="00C33DD2"/>
    <w:rsid w:val="00C35799"/>
    <w:rsid w:val="00C3582A"/>
    <w:rsid w:val="00C3688C"/>
    <w:rsid w:val="00C402FF"/>
    <w:rsid w:val="00C432D4"/>
    <w:rsid w:val="00C439F3"/>
    <w:rsid w:val="00C45200"/>
    <w:rsid w:val="00C5349F"/>
    <w:rsid w:val="00C55DC4"/>
    <w:rsid w:val="00C60B6D"/>
    <w:rsid w:val="00C628D4"/>
    <w:rsid w:val="00C65BAA"/>
    <w:rsid w:val="00C674F6"/>
    <w:rsid w:val="00C67C00"/>
    <w:rsid w:val="00C71780"/>
    <w:rsid w:val="00C721FD"/>
    <w:rsid w:val="00C7263D"/>
    <w:rsid w:val="00C72BD1"/>
    <w:rsid w:val="00C72DA6"/>
    <w:rsid w:val="00C760BE"/>
    <w:rsid w:val="00C84F1B"/>
    <w:rsid w:val="00C90D96"/>
    <w:rsid w:val="00C92768"/>
    <w:rsid w:val="00C9300D"/>
    <w:rsid w:val="00C93E62"/>
    <w:rsid w:val="00C94E6A"/>
    <w:rsid w:val="00CA0DD7"/>
    <w:rsid w:val="00CA14A2"/>
    <w:rsid w:val="00CA1A2A"/>
    <w:rsid w:val="00CA2A34"/>
    <w:rsid w:val="00CA2D02"/>
    <w:rsid w:val="00CA47E5"/>
    <w:rsid w:val="00CA7ABC"/>
    <w:rsid w:val="00CB3C51"/>
    <w:rsid w:val="00CB46A2"/>
    <w:rsid w:val="00CB66AE"/>
    <w:rsid w:val="00CC1DC6"/>
    <w:rsid w:val="00CC2DC1"/>
    <w:rsid w:val="00CC570A"/>
    <w:rsid w:val="00CD10C1"/>
    <w:rsid w:val="00CD12B1"/>
    <w:rsid w:val="00CD48C3"/>
    <w:rsid w:val="00CD752F"/>
    <w:rsid w:val="00CE017E"/>
    <w:rsid w:val="00CE18CC"/>
    <w:rsid w:val="00CE1B53"/>
    <w:rsid w:val="00CE4112"/>
    <w:rsid w:val="00CE4302"/>
    <w:rsid w:val="00CE5973"/>
    <w:rsid w:val="00CE6109"/>
    <w:rsid w:val="00CE707F"/>
    <w:rsid w:val="00CF0ECD"/>
    <w:rsid w:val="00CF35B8"/>
    <w:rsid w:val="00CF371B"/>
    <w:rsid w:val="00CF394D"/>
    <w:rsid w:val="00CF7395"/>
    <w:rsid w:val="00D02560"/>
    <w:rsid w:val="00D03420"/>
    <w:rsid w:val="00D03990"/>
    <w:rsid w:val="00D06126"/>
    <w:rsid w:val="00D0738A"/>
    <w:rsid w:val="00D128E1"/>
    <w:rsid w:val="00D14B45"/>
    <w:rsid w:val="00D14EF0"/>
    <w:rsid w:val="00D15B7B"/>
    <w:rsid w:val="00D178CB"/>
    <w:rsid w:val="00D232F7"/>
    <w:rsid w:val="00D26735"/>
    <w:rsid w:val="00D26B76"/>
    <w:rsid w:val="00D27E19"/>
    <w:rsid w:val="00D32A31"/>
    <w:rsid w:val="00D404EE"/>
    <w:rsid w:val="00D414BD"/>
    <w:rsid w:val="00D41584"/>
    <w:rsid w:val="00D437E4"/>
    <w:rsid w:val="00D43C50"/>
    <w:rsid w:val="00D4557B"/>
    <w:rsid w:val="00D475C9"/>
    <w:rsid w:val="00D47C47"/>
    <w:rsid w:val="00D52DD3"/>
    <w:rsid w:val="00D54D80"/>
    <w:rsid w:val="00D614B4"/>
    <w:rsid w:val="00D64630"/>
    <w:rsid w:val="00D64EC9"/>
    <w:rsid w:val="00D659AD"/>
    <w:rsid w:val="00D67DFD"/>
    <w:rsid w:val="00D70136"/>
    <w:rsid w:val="00D7075D"/>
    <w:rsid w:val="00D70AF4"/>
    <w:rsid w:val="00D70CD0"/>
    <w:rsid w:val="00D71A6D"/>
    <w:rsid w:val="00D71C2C"/>
    <w:rsid w:val="00D71E3C"/>
    <w:rsid w:val="00D72081"/>
    <w:rsid w:val="00D723BE"/>
    <w:rsid w:val="00D76463"/>
    <w:rsid w:val="00D76BF4"/>
    <w:rsid w:val="00D80104"/>
    <w:rsid w:val="00D80CBD"/>
    <w:rsid w:val="00D80D37"/>
    <w:rsid w:val="00D82023"/>
    <w:rsid w:val="00D8283E"/>
    <w:rsid w:val="00D8705F"/>
    <w:rsid w:val="00D87A24"/>
    <w:rsid w:val="00D91A1F"/>
    <w:rsid w:val="00D92EF8"/>
    <w:rsid w:val="00D933B5"/>
    <w:rsid w:val="00D93415"/>
    <w:rsid w:val="00DA6BC7"/>
    <w:rsid w:val="00DB217C"/>
    <w:rsid w:val="00DB37D8"/>
    <w:rsid w:val="00DB4D3E"/>
    <w:rsid w:val="00DB4DB8"/>
    <w:rsid w:val="00DB7D34"/>
    <w:rsid w:val="00DC0FA6"/>
    <w:rsid w:val="00DC2151"/>
    <w:rsid w:val="00DC28CA"/>
    <w:rsid w:val="00DC6303"/>
    <w:rsid w:val="00DD0B4A"/>
    <w:rsid w:val="00DD1629"/>
    <w:rsid w:val="00DD36F5"/>
    <w:rsid w:val="00DD4298"/>
    <w:rsid w:val="00DE1953"/>
    <w:rsid w:val="00DE6D7C"/>
    <w:rsid w:val="00DF0877"/>
    <w:rsid w:val="00DF2590"/>
    <w:rsid w:val="00DF3FD5"/>
    <w:rsid w:val="00DF5764"/>
    <w:rsid w:val="00E00124"/>
    <w:rsid w:val="00E0129D"/>
    <w:rsid w:val="00E02CC4"/>
    <w:rsid w:val="00E033E6"/>
    <w:rsid w:val="00E03C69"/>
    <w:rsid w:val="00E0561F"/>
    <w:rsid w:val="00E12AE9"/>
    <w:rsid w:val="00E156F6"/>
    <w:rsid w:val="00E16A70"/>
    <w:rsid w:val="00E210F3"/>
    <w:rsid w:val="00E21D20"/>
    <w:rsid w:val="00E21D2B"/>
    <w:rsid w:val="00E22420"/>
    <w:rsid w:val="00E235AC"/>
    <w:rsid w:val="00E250E0"/>
    <w:rsid w:val="00E30CB7"/>
    <w:rsid w:val="00E324DF"/>
    <w:rsid w:val="00E33845"/>
    <w:rsid w:val="00E370BE"/>
    <w:rsid w:val="00E41DA8"/>
    <w:rsid w:val="00E42842"/>
    <w:rsid w:val="00E47BB2"/>
    <w:rsid w:val="00E5522A"/>
    <w:rsid w:val="00E566AC"/>
    <w:rsid w:val="00E57201"/>
    <w:rsid w:val="00E611D7"/>
    <w:rsid w:val="00E61704"/>
    <w:rsid w:val="00E619F9"/>
    <w:rsid w:val="00E62418"/>
    <w:rsid w:val="00E63636"/>
    <w:rsid w:val="00E65911"/>
    <w:rsid w:val="00E664C4"/>
    <w:rsid w:val="00E70CF5"/>
    <w:rsid w:val="00E72BB7"/>
    <w:rsid w:val="00E730AC"/>
    <w:rsid w:val="00E7417E"/>
    <w:rsid w:val="00E7511C"/>
    <w:rsid w:val="00E75B99"/>
    <w:rsid w:val="00E84C41"/>
    <w:rsid w:val="00E934FE"/>
    <w:rsid w:val="00E93503"/>
    <w:rsid w:val="00E938BA"/>
    <w:rsid w:val="00E94D05"/>
    <w:rsid w:val="00EA11DC"/>
    <w:rsid w:val="00EA2BEF"/>
    <w:rsid w:val="00EA31EA"/>
    <w:rsid w:val="00EA3FDF"/>
    <w:rsid w:val="00EB13DC"/>
    <w:rsid w:val="00EB2A64"/>
    <w:rsid w:val="00EB2AD6"/>
    <w:rsid w:val="00EB3A58"/>
    <w:rsid w:val="00EB4507"/>
    <w:rsid w:val="00EB4DCB"/>
    <w:rsid w:val="00EC120D"/>
    <w:rsid w:val="00EC5472"/>
    <w:rsid w:val="00EC7E3E"/>
    <w:rsid w:val="00ED2127"/>
    <w:rsid w:val="00ED2285"/>
    <w:rsid w:val="00ED4050"/>
    <w:rsid w:val="00ED6296"/>
    <w:rsid w:val="00EE4DD0"/>
    <w:rsid w:val="00EE5318"/>
    <w:rsid w:val="00EE711B"/>
    <w:rsid w:val="00EF0CFB"/>
    <w:rsid w:val="00EF2E32"/>
    <w:rsid w:val="00F02B57"/>
    <w:rsid w:val="00F033F7"/>
    <w:rsid w:val="00F04265"/>
    <w:rsid w:val="00F048EC"/>
    <w:rsid w:val="00F1201E"/>
    <w:rsid w:val="00F15EB4"/>
    <w:rsid w:val="00F17704"/>
    <w:rsid w:val="00F17C63"/>
    <w:rsid w:val="00F17F6C"/>
    <w:rsid w:val="00F20034"/>
    <w:rsid w:val="00F20CF4"/>
    <w:rsid w:val="00F20F7D"/>
    <w:rsid w:val="00F269F4"/>
    <w:rsid w:val="00F2763F"/>
    <w:rsid w:val="00F3158F"/>
    <w:rsid w:val="00F3250F"/>
    <w:rsid w:val="00F3275F"/>
    <w:rsid w:val="00F346E9"/>
    <w:rsid w:val="00F3770A"/>
    <w:rsid w:val="00F413B6"/>
    <w:rsid w:val="00F424E9"/>
    <w:rsid w:val="00F43470"/>
    <w:rsid w:val="00F45561"/>
    <w:rsid w:val="00F4664D"/>
    <w:rsid w:val="00F53478"/>
    <w:rsid w:val="00F553E1"/>
    <w:rsid w:val="00F56E67"/>
    <w:rsid w:val="00F57A34"/>
    <w:rsid w:val="00F57CCD"/>
    <w:rsid w:val="00F60D22"/>
    <w:rsid w:val="00F610FA"/>
    <w:rsid w:val="00F62201"/>
    <w:rsid w:val="00F62FCC"/>
    <w:rsid w:val="00F64F84"/>
    <w:rsid w:val="00F6520C"/>
    <w:rsid w:val="00F71B61"/>
    <w:rsid w:val="00F76580"/>
    <w:rsid w:val="00F76AAC"/>
    <w:rsid w:val="00F76ABF"/>
    <w:rsid w:val="00F821FC"/>
    <w:rsid w:val="00F855FF"/>
    <w:rsid w:val="00F8683F"/>
    <w:rsid w:val="00F90D7E"/>
    <w:rsid w:val="00F9499A"/>
    <w:rsid w:val="00F96846"/>
    <w:rsid w:val="00F96B8E"/>
    <w:rsid w:val="00FA1C61"/>
    <w:rsid w:val="00FA362C"/>
    <w:rsid w:val="00FA699C"/>
    <w:rsid w:val="00FA7DDD"/>
    <w:rsid w:val="00FB02B0"/>
    <w:rsid w:val="00FB467A"/>
    <w:rsid w:val="00FB6060"/>
    <w:rsid w:val="00FC08EB"/>
    <w:rsid w:val="00FC293B"/>
    <w:rsid w:val="00FC4000"/>
    <w:rsid w:val="00FC7DC8"/>
    <w:rsid w:val="00FD0179"/>
    <w:rsid w:val="00FD1F83"/>
    <w:rsid w:val="00FD4847"/>
    <w:rsid w:val="00FD4B59"/>
    <w:rsid w:val="00FD549C"/>
    <w:rsid w:val="00FE0392"/>
    <w:rsid w:val="00FE1016"/>
    <w:rsid w:val="00FE17FA"/>
    <w:rsid w:val="00FE38EA"/>
    <w:rsid w:val="00FF29A3"/>
    <w:rsid w:val="00FF4540"/>
    <w:rsid w:val="00FF492B"/>
    <w:rsid w:val="00FF4EEF"/>
    <w:rsid w:val="00FF6EA0"/>
    <w:rsid w:val="4C8F8013"/>
    <w:rsid w:val="53E05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SimSun" w:cs="Times New Roman"/>
      <w:lang w:val="ru-RU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widowControl/>
      <w:autoSpaceDE/>
      <w:autoSpaceDN/>
      <w:adjustRightInd/>
      <w:outlineLvl w:val="0"/>
    </w:pPr>
    <w:rPr>
      <w:rFonts w:eastAsia="Times New Roman"/>
      <w:sz w:val="28"/>
      <w:lang w:eastAsia="ru-RU"/>
    </w:rPr>
  </w:style>
  <w:style w:type="paragraph" w:styleId="3">
    <w:name w:val="heading 2"/>
    <w:basedOn w:val="1"/>
    <w:next w:val="1"/>
    <w:qFormat/>
    <w:uiPriority w:val="0"/>
    <w:pPr>
      <w:keepNext/>
      <w:jc w:val="center"/>
      <w:outlineLvl w:val="1"/>
    </w:pPr>
    <w:rPr>
      <w:sz w:val="28"/>
    </w:rPr>
  </w:style>
  <w:style w:type="paragraph" w:styleId="4">
    <w:name w:val="heading 3"/>
    <w:basedOn w:val="1"/>
    <w:next w:val="1"/>
    <w:qFormat/>
    <w:uiPriority w:val="0"/>
    <w:pPr>
      <w:keepNext/>
      <w:ind w:left="5040" w:firstLine="720"/>
      <w:outlineLvl w:val="2"/>
    </w:pPr>
    <w:rPr>
      <w:sz w:val="28"/>
    </w:rPr>
  </w:style>
  <w:style w:type="paragraph" w:styleId="5">
    <w:name w:val="heading 4"/>
    <w:basedOn w:val="1"/>
    <w:next w:val="1"/>
    <w:qFormat/>
    <w:uiPriority w:val="0"/>
    <w:pPr>
      <w:keepNext/>
      <w:outlineLvl w:val="3"/>
    </w:pPr>
    <w:rPr>
      <w:b/>
      <w:sz w:val="28"/>
    </w:rPr>
  </w:style>
  <w:style w:type="paragraph" w:styleId="6">
    <w:name w:val="heading 5"/>
    <w:basedOn w:val="1"/>
    <w:next w:val="1"/>
    <w:qFormat/>
    <w:uiPriority w:val="0"/>
    <w:pPr>
      <w:keepNext/>
      <w:jc w:val="center"/>
      <w:outlineLvl w:val="4"/>
    </w:pPr>
    <w:rPr>
      <w:sz w:val="24"/>
    </w:rPr>
  </w:style>
  <w:style w:type="paragraph" w:styleId="7">
    <w:name w:val="heading 6"/>
    <w:basedOn w:val="1"/>
    <w:next w:val="1"/>
    <w:qFormat/>
    <w:uiPriority w:val="0"/>
    <w:pPr>
      <w:keepNext/>
      <w:outlineLvl w:val="5"/>
    </w:pPr>
    <w:rPr>
      <w:sz w:val="24"/>
    </w:rPr>
  </w:style>
  <w:style w:type="paragraph" w:styleId="8">
    <w:name w:val="heading 7"/>
    <w:basedOn w:val="1"/>
    <w:next w:val="1"/>
    <w:qFormat/>
    <w:uiPriority w:val="0"/>
    <w:pPr>
      <w:keepNext/>
      <w:jc w:val="center"/>
      <w:outlineLvl w:val="6"/>
    </w:pPr>
    <w:rPr>
      <w:b/>
      <w:sz w:val="28"/>
    </w:rPr>
  </w:style>
  <w:style w:type="paragraph" w:styleId="9">
    <w:name w:val="heading 8"/>
    <w:basedOn w:val="1"/>
    <w:next w:val="1"/>
    <w:qFormat/>
    <w:uiPriority w:val="0"/>
    <w:pPr>
      <w:keepNext/>
      <w:outlineLvl w:val="7"/>
    </w:pPr>
  </w:style>
  <w:style w:type="paragraph" w:styleId="10">
    <w:name w:val="heading 9"/>
    <w:basedOn w:val="1"/>
    <w:next w:val="1"/>
    <w:qFormat/>
    <w:uiPriority w:val="0"/>
    <w:pPr>
      <w:keepNext/>
      <w:jc w:val="both"/>
      <w:outlineLvl w:val="8"/>
    </w:pPr>
    <w:rPr>
      <w:sz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yperlink"/>
    <w:basedOn w:val="11"/>
    <w:unhideWhenUsed/>
    <w:qFormat/>
    <w:uiPriority w:val="99"/>
    <w:rPr>
      <w:color w:val="0000FF"/>
      <w:u w:val="single"/>
    </w:rPr>
  </w:style>
  <w:style w:type="character" w:styleId="14">
    <w:name w:val="Strong"/>
    <w:qFormat/>
    <w:uiPriority w:val="22"/>
    <w:rPr>
      <w:b/>
      <w:bCs/>
    </w:rPr>
  </w:style>
  <w:style w:type="paragraph" w:styleId="15">
    <w:name w:val="Balloon Text"/>
    <w:basedOn w:val="1"/>
    <w:link w:val="26"/>
    <w:qFormat/>
    <w:uiPriority w:val="0"/>
    <w:pPr>
      <w:widowControl/>
      <w:suppressAutoHyphens/>
      <w:autoSpaceDE/>
      <w:autoSpaceDN/>
      <w:adjustRightInd/>
    </w:pPr>
    <w:rPr>
      <w:rFonts w:ascii="Tahoma" w:hAnsi="Tahoma" w:eastAsia="Times New Roman"/>
      <w:sz w:val="16"/>
      <w:szCs w:val="16"/>
      <w:lang w:eastAsia="ar-SA"/>
    </w:rPr>
  </w:style>
  <w:style w:type="paragraph" w:styleId="16">
    <w:name w:val="header"/>
    <w:basedOn w:val="1"/>
    <w:link w:val="63"/>
    <w:unhideWhenUsed/>
    <w:qFormat/>
    <w:uiPriority w:val="99"/>
    <w:pPr>
      <w:tabs>
        <w:tab w:val="center" w:pos="4677"/>
        <w:tab w:val="right" w:pos="9355"/>
      </w:tabs>
    </w:pPr>
  </w:style>
  <w:style w:type="paragraph" w:styleId="17">
    <w:name w:val="Body Text"/>
    <w:basedOn w:val="1"/>
    <w:unhideWhenUsed/>
    <w:qFormat/>
    <w:uiPriority w:val="0"/>
    <w:pPr>
      <w:widowControl/>
      <w:autoSpaceDE/>
      <w:autoSpaceDN/>
      <w:adjustRightInd/>
      <w:jc w:val="both"/>
    </w:pPr>
    <w:rPr>
      <w:rFonts w:eastAsia="Times New Roman"/>
      <w:sz w:val="28"/>
      <w:lang w:eastAsia="ru-RU"/>
    </w:rPr>
  </w:style>
  <w:style w:type="paragraph" w:styleId="18">
    <w:name w:val="Body Text Indent"/>
    <w:basedOn w:val="1"/>
    <w:link w:val="30"/>
    <w:semiHidden/>
    <w:unhideWhenUsed/>
    <w:qFormat/>
    <w:uiPriority w:val="99"/>
    <w:pPr>
      <w:spacing w:after="120"/>
      <w:ind w:left="283"/>
    </w:pPr>
  </w:style>
  <w:style w:type="paragraph" w:styleId="19">
    <w:name w:val="footer"/>
    <w:basedOn w:val="1"/>
    <w:link w:val="56"/>
    <w:unhideWhenUsed/>
    <w:qFormat/>
    <w:uiPriority w:val="99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table" w:styleId="20">
    <w:name w:val="Table Grid"/>
    <w:basedOn w:val="12"/>
    <w:uiPriority w:val="59"/>
    <w:rPr>
      <w:rFonts w:asciiTheme="minorHAnsi" w:hAnsiTheme="minorHAnsi" w:eastAsiaTheme="minorEastAsia" w:cstheme="minorBidi"/>
      <w:sz w:val="22"/>
      <w:szCs w:val="22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customStyle="1" w:styleId="21">
    <w:name w:val="ConsPlusNormal"/>
    <w:qFormat/>
    <w:uiPriority w:val="0"/>
    <w:pPr>
      <w:autoSpaceDE w:val="0"/>
      <w:autoSpaceDN w:val="0"/>
      <w:adjustRightInd w:val="0"/>
    </w:pPr>
    <w:rPr>
      <w:rFonts w:ascii="Times New Roman" w:hAnsi="Times New Roman" w:eastAsia="SimSun" w:cs="Times New Roman"/>
      <w:sz w:val="28"/>
      <w:szCs w:val="28"/>
      <w:lang w:val="ru-RU" w:eastAsia="ru-RU" w:bidi="ar-SA"/>
    </w:rPr>
  </w:style>
  <w:style w:type="character" w:customStyle="1" w:styleId="22">
    <w:name w:val="Заголовок 1 Знак"/>
    <w:basedOn w:val="11"/>
    <w:qFormat/>
    <w:uiPriority w:val="0"/>
    <w:rPr>
      <w:rFonts w:eastAsia="Times New Roman"/>
      <w:sz w:val="28"/>
    </w:rPr>
  </w:style>
  <w:style w:type="character" w:customStyle="1" w:styleId="23">
    <w:name w:val="Основной текст Знак"/>
    <w:basedOn w:val="11"/>
    <w:qFormat/>
    <w:uiPriority w:val="0"/>
    <w:rPr>
      <w:rFonts w:eastAsia="Times New Roman"/>
      <w:sz w:val="28"/>
    </w:rPr>
  </w:style>
  <w:style w:type="paragraph" w:customStyle="1" w:styleId="24">
    <w:name w:val="ConsPlusNonformat"/>
    <w:qFormat/>
    <w:uiPriority w:val="0"/>
    <w:pPr>
      <w:widowControl w:val="0"/>
      <w:autoSpaceDE w:val="0"/>
      <w:autoSpaceDN w:val="0"/>
    </w:pPr>
    <w:rPr>
      <w:rFonts w:ascii="Courier New" w:hAnsi="Courier New" w:eastAsia="Times New Roman" w:cs="Courier New"/>
      <w:lang w:val="ru-RU" w:eastAsia="ru-RU" w:bidi="ar-SA"/>
    </w:rPr>
  </w:style>
  <w:style w:type="paragraph" w:styleId="25">
    <w:name w:val="List Paragraph"/>
    <w:basedOn w:val="1"/>
    <w:qFormat/>
    <w:uiPriority w:val="34"/>
    <w:pPr>
      <w:ind w:left="720"/>
      <w:contextualSpacing/>
    </w:pPr>
  </w:style>
  <w:style w:type="character" w:customStyle="1" w:styleId="26">
    <w:name w:val="Текст выноски Знак"/>
    <w:basedOn w:val="11"/>
    <w:link w:val="15"/>
    <w:qFormat/>
    <w:uiPriority w:val="0"/>
    <w:rPr>
      <w:rFonts w:ascii="Tahoma" w:hAnsi="Tahoma" w:eastAsia="Times New Roman"/>
      <w:sz w:val="16"/>
      <w:szCs w:val="16"/>
      <w:lang w:eastAsia="ar-SA"/>
    </w:rPr>
  </w:style>
  <w:style w:type="character" w:customStyle="1" w:styleId="27">
    <w:name w:val="Font Style34"/>
    <w:qFormat/>
    <w:uiPriority w:val="0"/>
    <w:rPr>
      <w:rFonts w:ascii="Times New Roman" w:hAnsi="Times New Roman" w:cs="Times New Roman"/>
      <w:b/>
      <w:bCs/>
      <w:sz w:val="26"/>
      <w:szCs w:val="26"/>
    </w:rPr>
  </w:style>
  <w:style w:type="paragraph" w:styleId="28">
    <w:name w:val="No Spacing"/>
    <w:link w:val="29"/>
    <w:qFormat/>
    <w:uiPriority w:val="1"/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customStyle="1" w:styleId="29">
    <w:name w:val="Без интервала Знак"/>
    <w:basedOn w:val="11"/>
    <w:link w:val="28"/>
    <w:qFormat/>
    <w:locked/>
    <w:uiPriority w:val="99"/>
    <w:rPr>
      <w:rFonts w:asciiTheme="minorHAnsi" w:hAnsiTheme="minorHAnsi" w:eastAsiaTheme="minorHAnsi" w:cstheme="minorBidi"/>
      <w:sz w:val="22"/>
      <w:szCs w:val="22"/>
      <w:lang w:eastAsia="en-US"/>
    </w:rPr>
  </w:style>
  <w:style w:type="character" w:customStyle="1" w:styleId="30">
    <w:name w:val="Основной текст с отступом Знак"/>
    <w:basedOn w:val="11"/>
    <w:link w:val="18"/>
    <w:semiHidden/>
    <w:qFormat/>
    <w:uiPriority w:val="99"/>
    <w:rPr>
      <w:lang w:eastAsia="zh-CN"/>
    </w:rPr>
  </w:style>
  <w:style w:type="paragraph" w:customStyle="1" w:styleId="31">
    <w:name w:val="FR1"/>
    <w:qFormat/>
    <w:uiPriority w:val="0"/>
    <w:pPr>
      <w:widowControl w:val="0"/>
      <w:autoSpaceDE w:val="0"/>
      <w:autoSpaceDN w:val="0"/>
      <w:adjustRightInd w:val="0"/>
      <w:spacing w:line="320" w:lineRule="auto"/>
      <w:ind w:left="120" w:right="1200"/>
    </w:pPr>
    <w:rPr>
      <w:rFonts w:ascii="Arial" w:hAnsi="Arial" w:eastAsia="Times New Roman" w:cs="Arial"/>
      <w:sz w:val="18"/>
      <w:szCs w:val="18"/>
      <w:lang w:val="ru-RU" w:eastAsia="ru-RU" w:bidi="ar-SA"/>
    </w:rPr>
  </w:style>
  <w:style w:type="character" w:customStyle="1" w:styleId="32">
    <w:name w:val="Font Style31"/>
    <w:basedOn w:val="11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33">
    <w:name w:val="Font Style23"/>
    <w:qFormat/>
    <w:uiPriority w:val="0"/>
    <w:rPr>
      <w:rFonts w:ascii="Times New Roman" w:hAnsi="Times New Roman" w:cs="Times New Roman"/>
      <w:b/>
      <w:bCs/>
      <w:sz w:val="26"/>
      <w:szCs w:val="26"/>
    </w:rPr>
  </w:style>
  <w:style w:type="paragraph" w:customStyle="1" w:styleId="34">
    <w:name w:val="Style9"/>
    <w:basedOn w:val="1"/>
    <w:qFormat/>
    <w:uiPriority w:val="0"/>
    <w:rPr>
      <w:sz w:val="24"/>
      <w:szCs w:val="24"/>
    </w:rPr>
  </w:style>
  <w:style w:type="character" w:customStyle="1" w:styleId="35">
    <w:name w:val="Font Style54"/>
    <w:basedOn w:val="11"/>
    <w:qFormat/>
    <w:uiPriority w:val="0"/>
    <w:rPr>
      <w:rFonts w:ascii="Times New Roman" w:hAnsi="Times New Roman" w:cs="Times New Roman"/>
      <w:sz w:val="26"/>
      <w:szCs w:val="26"/>
    </w:rPr>
  </w:style>
  <w:style w:type="paragraph" w:customStyle="1" w:styleId="36">
    <w:name w:val="ConsPlusCell"/>
    <w:qFormat/>
    <w:uiPriority w:val="0"/>
    <w:pPr>
      <w:widowControl w:val="0"/>
      <w:autoSpaceDE w:val="0"/>
      <w:autoSpaceDN w:val="0"/>
    </w:pPr>
    <w:rPr>
      <w:rFonts w:ascii="Courier New" w:hAnsi="Courier New" w:eastAsia="Times New Roman" w:cs="Courier New"/>
      <w:lang w:val="ru-RU" w:eastAsia="ru-RU" w:bidi="ar-SA"/>
    </w:rPr>
  </w:style>
  <w:style w:type="character" w:customStyle="1" w:styleId="37">
    <w:name w:val="Основной текст (9)_"/>
    <w:basedOn w:val="11"/>
    <w:link w:val="38"/>
    <w:qFormat/>
    <w:uiPriority w:val="0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38">
    <w:name w:val="Основной текст (9)"/>
    <w:basedOn w:val="1"/>
    <w:link w:val="37"/>
    <w:qFormat/>
    <w:uiPriority w:val="0"/>
    <w:pPr>
      <w:shd w:val="clear" w:color="auto" w:fill="FFFFFF"/>
      <w:autoSpaceDE/>
      <w:autoSpaceDN/>
      <w:adjustRightInd/>
      <w:spacing w:line="322" w:lineRule="exact"/>
    </w:pPr>
    <w:rPr>
      <w:rFonts w:eastAsia="Times New Roman"/>
      <w:b/>
      <w:bCs/>
      <w:sz w:val="28"/>
      <w:szCs w:val="28"/>
      <w:lang w:eastAsia="ru-RU"/>
    </w:rPr>
  </w:style>
  <w:style w:type="character" w:customStyle="1" w:styleId="39">
    <w:name w:val="Основной текст_"/>
    <w:link w:val="40"/>
    <w:qFormat/>
    <w:uiPriority w:val="0"/>
    <w:rPr>
      <w:rFonts w:ascii="Arial" w:hAnsi="Arial" w:eastAsia="Arial" w:cs="Arial"/>
      <w:sz w:val="27"/>
      <w:szCs w:val="27"/>
      <w:shd w:val="clear" w:color="auto" w:fill="FFFFFF"/>
    </w:rPr>
  </w:style>
  <w:style w:type="paragraph" w:customStyle="1" w:styleId="40">
    <w:name w:val="Основной текст1"/>
    <w:basedOn w:val="1"/>
    <w:link w:val="39"/>
    <w:qFormat/>
    <w:uiPriority w:val="0"/>
    <w:pPr>
      <w:widowControl/>
      <w:shd w:val="clear" w:color="auto" w:fill="FFFFFF"/>
      <w:autoSpaceDE/>
      <w:autoSpaceDN/>
      <w:adjustRightInd/>
      <w:spacing w:line="0" w:lineRule="atLeast"/>
      <w:jc w:val="right"/>
    </w:pPr>
    <w:rPr>
      <w:rFonts w:ascii="Arial" w:hAnsi="Arial" w:eastAsia="Arial" w:cs="Arial"/>
      <w:sz w:val="27"/>
      <w:szCs w:val="27"/>
      <w:lang w:eastAsia="ru-RU"/>
    </w:rPr>
  </w:style>
  <w:style w:type="paragraph" w:customStyle="1" w:styleId="41">
    <w:name w:val="table10"/>
    <w:basedOn w:val="1"/>
    <w:qFormat/>
    <w:uiPriority w:val="0"/>
    <w:pPr>
      <w:widowControl/>
      <w:autoSpaceDE/>
      <w:autoSpaceDN/>
      <w:adjustRightInd/>
    </w:pPr>
    <w:rPr>
      <w:rFonts w:eastAsia="Times New Roman"/>
      <w:lang w:eastAsia="ru-RU"/>
    </w:rPr>
  </w:style>
  <w:style w:type="paragraph" w:customStyle="1" w:styleId="42">
    <w:name w:val="Style5"/>
    <w:basedOn w:val="1"/>
    <w:qFormat/>
    <w:uiPriority w:val="0"/>
    <w:pPr>
      <w:spacing w:line="324" w:lineRule="exact"/>
      <w:ind w:firstLine="576"/>
      <w:jc w:val="both"/>
    </w:pPr>
    <w:rPr>
      <w:sz w:val="24"/>
      <w:szCs w:val="24"/>
    </w:rPr>
  </w:style>
  <w:style w:type="table" w:customStyle="1" w:styleId="43">
    <w:name w:val="Сетка таблицы1"/>
    <w:basedOn w:val="12"/>
    <w:qFormat/>
    <w:locked/>
    <w:uiPriority w:val="59"/>
    <w:rPr>
      <w:rFonts w:asciiTheme="minorHAnsi" w:hAnsiTheme="minorHAnsi" w:eastAsiaTheme="minorHAnsi" w:cstheme="minorBidi"/>
      <w:sz w:val="22"/>
      <w:szCs w:val="22"/>
      <w:lang w:eastAsia="en-US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customStyle="1" w:styleId="44">
    <w:name w:val="Style10"/>
    <w:basedOn w:val="1"/>
    <w:qFormat/>
    <w:uiPriority w:val="0"/>
    <w:pPr>
      <w:spacing w:line="317" w:lineRule="exact"/>
      <w:jc w:val="both"/>
    </w:pPr>
    <w:rPr>
      <w:sz w:val="24"/>
      <w:szCs w:val="24"/>
    </w:rPr>
  </w:style>
  <w:style w:type="character" w:customStyle="1" w:styleId="45">
    <w:name w:val="Font Style17"/>
    <w:basedOn w:val="11"/>
    <w:qFormat/>
    <w:uiPriority w:val="0"/>
    <w:rPr>
      <w:rFonts w:hint="default" w:ascii="Times New Roman" w:hAnsi="Times New Roman" w:cs="Times New Roman"/>
      <w:sz w:val="26"/>
      <w:szCs w:val="26"/>
    </w:rPr>
  </w:style>
  <w:style w:type="character" w:customStyle="1" w:styleId="46">
    <w:name w:val="Body text (2) + Bold"/>
    <w:basedOn w:val="11"/>
    <w:qFormat/>
    <w:uiPriority w:val="0"/>
    <w:rPr>
      <w:rFonts w:ascii="Times New Roman" w:hAnsi="Times New Roman" w:eastAsia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7">
    <w:name w:val="Footnote_"/>
    <w:basedOn w:val="11"/>
    <w:link w:val="48"/>
    <w:qFormat/>
    <w:uiPriority w:val="0"/>
    <w:rPr>
      <w:rFonts w:eastAsia="Times New Roman"/>
      <w:sz w:val="28"/>
      <w:szCs w:val="28"/>
      <w:shd w:val="clear" w:color="auto" w:fill="FFFFFF"/>
    </w:rPr>
  </w:style>
  <w:style w:type="paragraph" w:customStyle="1" w:styleId="48">
    <w:name w:val="Footnote"/>
    <w:basedOn w:val="1"/>
    <w:link w:val="47"/>
    <w:qFormat/>
    <w:uiPriority w:val="0"/>
    <w:pPr>
      <w:shd w:val="clear" w:color="auto" w:fill="FFFFFF"/>
      <w:autoSpaceDE/>
      <w:autoSpaceDN/>
      <w:adjustRightInd/>
      <w:spacing w:line="317" w:lineRule="exact"/>
      <w:ind w:firstLine="520"/>
      <w:jc w:val="both"/>
    </w:pPr>
    <w:rPr>
      <w:rFonts w:eastAsia="Times New Roman"/>
      <w:sz w:val="28"/>
      <w:szCs w:val="28"/>
      <w:lang w:eastAsia="ru-RU"/>
    </w:rPr>
  </w:style>
  <w:style w:type="paragraph" w:customStyle="1" w:styleId="49">
    <w:name w:val="p-normal"/>
    <w:basedOn w:val="1"/>
    <w:qFormat/>
    <w:uiPriority w:val="0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50">
    <w:name w:val="h-normal"/>
    <w:basedOn w:val="11"/>
    <w:qFormat/>
    <w:uiPriority w:val="0"/>
  </w:style>
  <w:style w:type="character" w:customStyle="1" w:styleId="51">
    <w:name w:val="color__ff00ff"/>
    <w:basedOn w:val="11"/>
    <w:qFormat/>
    <w:uiPriority w:val="0"/>
  </w:style>
  <w:style w:type="paragraph" w:customStyle="1" w:styleId="52">
    <w:name w:val="Style12"/>
    <w:basedOn w:val="1"/>
    <w:qFormat/>
    <w:uiPriority w:val="0"/>
    <w:pPr>
      <w:spacing w:line="317" w:lineRule="exact"/>
      <w:ind w:hanging="941"/>
    </w:pPr>
    <w:rPr>
      <w:rFonts w:eastAsia="Times New Roman"/>
      <w:sz w:val="24"/>
      <w:szCs w:val="24"/>
      <w:lang w:eastAsia="ru-RU"/>
    </w:rPr>
  </w:style>
  <w:style w:type="paragraph" w:customStyle="1" w:styleId="53">
    <w:name w:val="Style11"/>
    <w:basedOn w:val="1"/>
    <w:qFormat/>
    <w:uiPriority w:val="0"/>
    <w:pPr>
      <w:spacing w:line="317" w:lineRule="exact"/>
    </w:pPr>
    <w:rPr>
      <w:sz w:val="24"/>
      <w:szCs w:val="24"/>
    </w:rPr>
  </w:style>
  <w:style w:type="character" w:customStyle="1" w:styleId="54">
    <w:name w:val="Font Style26"/>
    <w:qFormat/>
    <w:uiPriority w:val="0"/>
    <w:rPr>
      <w:rFonts w:hint="default" w:ascii="Times New Roman" w:hAnsi="Times New Roman" w:cs="Times New Roman"/>
      <w:b/>
      <w:bCs/>
      <w:sz w:val="28"/>
      <w:szCs w:val="28"/>
    </w:rPr>
  </w:style>
  <w:style w:type="character" w:customStyle="1" w:styleId="55">
    <w:name w:val="Font Style30"/>
    <w:qFormat/>
    <w:uiPriority w:val="0"/>
    <w:rPr>
      <w:rFonts w:hint="default" w:ascii="Times New Roman" w:hAnsi="Times New Roman" w:cs="Times New Roman"/>
      <w:b/>
      <w:bCs/>
      <w:sz w:val="26"/>
      <w:szCs w:val="26"/>
    </w:rPr>
  </w:style>
  <w:style w:type="character" w:customStyle="1" w:styleId="56">
    <w:name w:val="Нижний колонтитул Знак"/>
    <w:basedOn w:val="11"/>
    <w:link w:val="19"/>
    <w:qFormat/>
    <w:uiPriority w:val="99"/>
    <w:rPr>
      <w:rFonts w:asciiTheme="minorHAnsi" w:hAnsiTheme="minorHAnsi" w:eastAsiaTheme="minorHAnsi" w:cstheme="minorBidi"/>
      <w:sz w:val="22"/>
      <w:szCs w:val="22"/>
      <w:lang w:eastAsia="en-US"/>
    </w:rPr>
  </w:style>
  <w:style w:type="character" w:customStyle="1" w:styleId="57">
    <w:name w:val="word-wrapper"/>
    <w:basedOn w:val="11"/>
    <w:qFormat/>
    <w:uiPriority w:val="0"/>
  </w:style>
  <w:style w:type="character" w:customStyle="1" w:styleId="58">
    <w:name w:val="fake-non-breaking-space"/>
    <w:basedOn w:val="11"/>
    <w:qFormat/>
    <w:uiPriority w:val="0"/>
  </w:style>
  <w:style w:type="paragraph" w:customStyle="1" w:styleId="59">
    <w:name w:val="newncpi"/>
    <w:basedOn w:val="1"/>
    <w:qFormat/>
    <w:uiPriority w:val="0"/>
    <w:pPr>
      <w:widowControl/>
      <w:autoSpaceDE/>
      <w:autoSpaceDN/>
      <w:adjustRightInd/>
      <w:ind w:firstLine="567"/>
      <w:jc w:val="both"/>
    </w:pPr>
    <w:rPr>
      <w:rFonts w:eastAsia="Times New Roman"/>
      <w:sz w:val="24"/>
      <w:szCs w:val="24"/>
      <w:lang w:eastAsia="ru-RU"/>
    </w:rPr>
  </w:style>
  <w:style w:type="paragraph" w:customStyle="1" w:styleId="60">
    <w:name w:val="justify"/>
    <w:basedOn w:val="1"/>
    <w:qFormat/>
    <w:uiPriority w:val="0"/>
    <w:pPr>
      <w:widowControl/>
      <w:autoSpaceDE/>
      <w:autoSpaceDN/>
      <w:adjustRightInd/>
      <w:spacing w:after="160"/>
      <w:ind w:firstLine="567"/>
      <w:jc w:val="both"/>
    </w:pPr>
    <w:rPr>
      <w:rFonts w:eastAsia="Times New Roman"/>
      <w:sz w:val="24"/>
      <w:szCs w:val="24"/>
      <w:lang w:eastAsia="ru-RU"/>
    </w:rPr>
  </w:style>
  <w:style w:type="paragraph" w:customStyle="1" w:styleId="61">
    <w:name w:val="ConsPlusTitle"/>
    <w:qFormat/>
    <w:uiPriority w:val="99"/>
    <w:pPr>
      <w:widowControl w:val="0"/>
      <w:autoSpaceDE w:val="0"/>
      <w:autoSpaceDN w:val="0"/>
      <w:adjustRightInd w:val="0"/>
    </w:pPr>
    <w:rPr>
      <w:rFonts w:ascii="Arial" w:hAnsi="Arial" w:cs="Arial" w:eastAsiaTheme="minorEastAsia"/>
      <w:b/>
      <w:bCs/>
      <w:lang w:val="ru-RU" w:eastAsia="ru-RU" w:bidi="ar-SA"/>
    </w:rPr>
  </w:style>
  <w:style w:type="paragraph" w:customStyle="1" w:styleId="62">
    <w:name w:val="newncpi0"/>
    <w:basedOn w:val="1"/>
    <w:qFormat/>
    <w:uiPriority w:val="0"/>
    <w:pPr>
      <w:widowControl/>
      <w:adjustRightInd/>
      <w:jc w:val="both"/>
    </w:pPr>
    <w:rPr>
      <w:rFonts w:eastAsia="Times New Roman"/>
      <w:sz w:val="24"/>
      <w:szCs w:val="24"/>
      <w:lang w:eastAsia="ru-RU"/>
    </w:rPr>
  </w:style>
  <w:style w:type="character" w:customStyle="1" w:styleId="63">
    <w:name w:val="Верхний колонтитул Знак"/>
    <w:basedOn w:val="11"/>
    <w:link w:val="16"/>
    <w:qFormat/>
    <w:uiPriority w:val="99"/>
    <w:rPr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2D4EA0-1331-48AD-80B5-48FD4C6FCAF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Iven Computers</Company>
  <Pages>4</Pages>
  <Words>1143</Words>
  <Characters>8163</Characters>
  <Lines>66</Lines>
  <Paragraphs>18</Paragraphs>
  <TotalTime>4</TotalTime>
  <ScaleCrop>false</ScaleCrop>
  <LinksUpToDate>false</LinksUpToDate>
  <CharactersWithSpaces>9253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2026-07-29T11:59:00Z</dcterms:created>
  <dc:creator>User</dc:creator>
  <cp:lastModifiedBy>Igor Datov</cp:lastModifiedBy>
  <cp:lastPrinted>2026-08-11T08:57:00Z</cp:lastPrinted>
  <dcterms:modified xsi:type="dcterms:W3CDTF">2026-08-12T11:38:03Z</dcterms:modified>
  <cp:revision>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eyJoZGlkIjoiYmM3ZjQzNjY5MTgxYmI4MzcwOTdhMzMyZDI4ZTI1MGIiLCJ1c2VySWQiOiI3NTc2NTk0OTY3NzIyIn0=</vt:lpwstr>
  </property>
  <property fmtid="{D5CDD505-2E9C-101B-9397-08002B2CF9AE}" pid="3" name="KSOProductBuildVer">
    <vt:lpwstr>1049-12.1.0.28032</vt:lpwstr>
  </property>
  <property fmtid="{D5CDD505-2E9C-101B-9397-08002B2CF9AE}" pid="4" name="ICV">
    <vt:lpwstr>E8F66A95E3FF4B638C7FF54622402F43_13</vt:lpwstr>
  </property>
</Properties>
</file>