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D705" w14:textId="77777777" w:rsidR="00D81831" w:rsidRPr="00D81831" w:rsidRDefault="00D81831" w:rsidP="00D81831">
      <w:pPr>
        <w:widowControl w:val="0"/>
        <w:ind w:left="6804" w:hanging="283"/>
        <w:contextualSpacing/>
        <w:jc w:val="left"/>
        <w:rPr>
          <w:sz w:val="22"/>
          <w:szCs w:val="22"/>
        </w:rPr>
      </w:pPr>
      <w:r w:rsidRPr="00D81831">
        <w:rPr>
          <w:sz w:val="22"/>
          <w:szCs w:val="22"/>
        </w:rPr>
        <w:t>УТВЕРЖДАЮ</w:t>
      </w:r>
    </w:p>
    <w:p w14:paraId="3146B88E" w14:textId="77777777" w:rsidR="00D81831" w:rsidRPr="00D81831" w:rsidRDefault="00D81831" w:rsidP="00D81831">
      <w:pPr>
        <w:widowControl w:val="0"/>
        <w:ind w:left="6804" w:hanging="283"/>
        <w:contextualSpacing/>
        <w:jc w:val="left"/>
        <w:rPr>
          <w:sz w:val="22"/>
          <w:szCs w:val="22"/>
        </w:rPr>
      </w:pPr>
      <w:r w:rsidRPr="00D81831">
        <w:rPr>
          <w:sz w:val="22"/>
          <w:szCs w:val="22"/>
        </w:rPr>
        <w:t>Начальник ООТ</w:t>
      </w:r>
    </w:p>
    <w:p w14:paraId="0122DBFB" w14:textId="77777777" w:rsidR="00D81831" w:rsidRPr="00D81831" w:rsidRDefault="00D81831" w:rsidP="00D81831">
      <w:pPr>
        <w:widowControl w:val="0"/>
        <w:ind w:left="6804" w:hanging="283"/>
        <w:contextualSpacing/>
        <w:jc w:val="left"/>
        <w:rPr>
          <w:sz w:val="22"/>
          <w:szCs w:val="22"/>
        </w:rPr>
      </w:pPr>
      <w:r w:rsidRPr="00D81831">
        <w:rPr>
          <w:sz w:val="22"/>
          <w:szCs w:val="22"/>
        </w:rPr>
        <w:t xml:space="preserve">РУП «Медтехника» </w:t>
      </w:r>
    </w:p>
    <w:p w14:paraId="315DEF19" w14:textId="011C1779" w:rsidR="00D81831" w:rsidRPr="00D81831" w:rsidRDefault="00D81831" w:rsidP="00D81831">
      <w:pPr>
        <w:widowControl w:val="0"/>
        <w:ind w:left="6804" w:hanging="283"/>
        <w:contextualSpacing/>
        <w:jc w:val="left"/>
        <w:rPr>
          <w:sz w:val="22"/>
          <w:szCs w:val="22"/>
        </w:rPr>
      </w:pPr>
      <w:r w:rsidRPr="00D81831">
        <w:rPr>
          <w:sz w:val="22"/>
          <w:szCs w:val="22"/>
        </w:rPr>
        <w:t>_____________Е.А.</w:t>
      </w:r>
      <w:r w:rsidR="00B958EB">
        <w:rPr>
          <w:sz w:val="22"/>
          <w:szCs w:val="22"/>
        </w:rPr>
        <w:t xml:space="preserve"> </w:t>
      </w:r>
      <w:r w:rsidRPr="00D81831">
        <w:rPr>
          <w:sz w:val="22"/>
          <w:szCs w:val="22"/>
        </w:rPr>
        <w:t>Зайцева</w:t>
      </w:r>
    </w:p>
    <w:p w14:paraId="7BAA4D6C" w14:textId="17A07102" w:rsidR="00D81831" w:rsidRPr="00D81831" w:rsidRDefault="00D81831" w:rsidP="00D81831">
      <w:pPr>
        <w:widowControl w:val="0"/>
        <w:ind w:left="6804" w:hanging="283"/>
        <w:contextualSpacing/>
        <w:jc w:val="left"/>
        <w:rPr>
          <w:sz w:val="22"/>
          <w:szCs w:val="22"/>
        </w:rPr>
      </w:pPr>
      <w:r w:rsidRPr="0048057D">
        <w:rPr>
          <w:sz w:val="22"/>
          <w:szCs w:val="22"/>
          <w:u w:val="single"/>
        </w:rPr>
        <w:t>«</w:t>
      </w:r>
      <w:r w:rsidR="00B958EB">
        <w:rPr>
          <w:sz w:val="22"/>
          <w:szCs w:val="22"/>
          <w:u w:val="single"/>
        </w:rPr>
        <w:t>24</w:t>
      </w:r>
      <w:proofErr w:type="gramStart"/>
      <w:r w:rsidRPr="0048057D">
        <w:rPr>
          <w:sz w:val="22"/>
          <w:szCs w:val="22"/>
          <w:u w:val="single"/>
        </w:rPr>
        <w:t>_»_</w:t>
      </w:r>
      <w:proofErr w:type="gramEnd"/>
      <w:r w:rsidR="00B958EB">
        <w:rPr>
          <w:sz w:val="22"/>
          <w:szCs w:val="22"/>
          <w:u w:val="single"/>
        </w:rPr>
        <w:t>июля</w:t>
      </w:r>
      <w:r w:rsidRPr="0048057D">
        <w:rPr>
          <w:sz w:val="22"/>
          <w:szCs w:val="22"/>
          <w:u w:val="single"/>
        </w:rPr>
        <w:t>_</w:t>
      </w:r>
      <w:r w:rsidRPr="00D81831">
        <w:rPr>
          <w:sz w:val="22"/>
          <w:szCs w:val="22"/>
        </w:rPr>
        <w:t xml:space="preserve"> 202</w:t>
      </w:r>
      <w:r w:rsidR="004E560A">
        <w:rPr>
          <w:sz w:val="22"/>
          <w:szCs w:val="22"/>
        </w:rPr>
        <w:t>6</w:t>
      </w:r>
      <w:r w:rsidRPr="00D81831">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40DC9FF9" w14:textId="58A5C3AA" w:rsidR="004E560A" w:rsidRPr="004E560A" w:rsidRDefault="00CC7008" w:rsidP="004E560A">
      <w:pPr>
        <w:pStyle w:val="1"/>
        <w:rPr>
          <w:color w:val="000000"/>
          <w:lang w:eastAsia="ru-RU"/>
        </w:rPr>
      </w:pPr>
      <w:r>
        <w:rPr>
          <w:color w:val="000000"/>
          <w:lang w:eastAsia="ru-RU"/>
        </w:rPr>
        <w:t>МогМТ№</w:t>
      </w:r>
      <w:r w:rsidR="00D81831">
        <w:rPr>
          <w:color w:val="000000"/>
          <w:lang w:eastAsia="ru-RU"/>
        </w:rPr>
        <w:t>613</w:t>
      </w:r>
      <w:r>
        <w:rPr>
          <w:color w:val="000000"/>
          <w:lang w:eastAsia="ru-RU"/>
        </w:rPr>
        <w:t>/25</w:t>
      </w:r>
      <w:r w:rsidR="00524ED4" w:rsidRPr="00055E86">
        <w:rPr>
          <w:color w:val="000000"/>
          <w:lang w:eastAsia="ru-RU"/>
        </w:rPr>
        <w:t xml:space="preserve"> ЗОИ «</w:t>
      </w:r>
      <w:r w:rsidR="00D81831" w:rsidRPr="00D81831">
        <w:t xml:space="preserve">Аппараты сшивающие и расходные изделия </w:t>
      </w:r>
      <w:r w:rsidR="00294C4E" w:rsidRPr="00D81831">
        <w:t>к аппаратам</w:t>
      </w:r>
      <w:r w:rsidR="00294C4E">
        <w:t xml:space="preserve"> </w:t>
      </w:r>
      <w:r w:rsidR="00D81831" w:rsidRPr="00D81831">
        <w:t>сшивающим</w:t>
      </w:r>
      <w:r w:rsidR="00524ED4" w:rsidRPr="00055E86">
        <w:rPr>
          <w:color w:val="000000"/>
          <w:lang w:eastAsia="ru-RU"/>
        </w:rPr>
        <w:t>»</w:t>
      </w:r>
      <w:r w:rsidR="00B958EB">
        <w:rPr>
          <w:color w:val="000000"/>
          <w:lang w:eastAsia="ru-RU"/>
        </w:rPr>
        <w:t xml:space="preserve"> ДопМИ-5</w:t>
      </w:r>
    </w:p>
    <w:p w14:paraId="6CB99513" w14:textId="148396BE" w:rsidR="0089262F" w:rsidRPr="0089262F" w:rsidRDefault="0089262F" w:rsidP="0089262F">
      <w:pPr>
        <w:jc w:val="center"/>
      </w:pPr>
      <w:r>
        <w:t>ЛОТ</w:t>
      </w:r>
      <w:r w:rsidR="004E560A">
        <w:t xml:space="preserve"> 14</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25D6E45D"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w:t>
            </w:r>
            <w:r w:rsidR="0048057D">
              <w:rPr>
                <w:b/>
              </w:rPr>
              <w:t> </w:t>
            </w:r>
            <w:r w:rsidR="008B5C18" w:rsidRPr="004B3616">
              <w:rPr>
                <w:b/>
              </w:rPr>
              <w:t>1)</w:t>
            </w:r>
            <w:r w:rsidR="0048057D">
              <w:rPr>
                <w:b/>
              </w:rPr>
              <w:t xml:space="preserve"> </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45579F1A" w:rsidR="00F372FE" w:rsidRPr="004B3616" w:rsidRDefault="00D47CAD" w:rsidP="006B47D0">
            <w:pPr>
              <w:ind w:firstLine="0"/>
            </w:pPr>
            <w:r>
              <w:t>5</w:t>
            </w:r>
            <w:r w:rsidR="000479B3">
              <w:t>.</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4A3CDB43" w:rsidR="004B3616" w:rsidRPr="004B3616" w:rsidRDefault="004B3616" w:rsidP="00F40F9C">
            <w:pPr>
              <w:ind w:firstLine="0"/>
            </w:pPr>
            <w:r w:rsidRPr="004B3616">
              <w:rPr>
                <w:b/>
              </w:rPr>
              <w:t>Лот</w:t>
            </w:r>
            <w:r w:rsidR="00D81831">
              <w:rPr>
                <w:b/>
              </w:rPr>
              <w:t xml:space="preserve"> </w:t>
            </w:r>
            <w:r w:rsidR="004E560A">
              <w:rPr>
                <w:b/>
              </w:rPr>
              <w:t>14</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B958EB"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4D53698F" w:rsidR="00A3170F" w:rsidRPr="00E60E1A" w:rsidRDefault="00B958EB" w:rsidP="00A3170F">
            <w:pPr>
              <w:ind w:firstLine="0"/>
            </w:pPr>
            <w:r>
              <w:rPr>
                <w:highlight w:val="yellow"/>
              </w:rPr>
              <w:t>29.07.</w:t>
            </w:r>
            <w:r w:rsidR="00D47CAD" w:rsidRPr="00D47CAD">
              <w:rPr>
                <w:highlight w:val="yellow"/>
              </w:rPr>
              <w:t>202</w:t>
            </w:r>
            <w:r w:rsidR="00D81831">
              <w:t>6</w:t>
            </w:r>
            <w:r w:rsidR="00D47CAD">
              <w:t xml:space="preserve"> </w:t>
            </w:r>
            <w:r>
              <w:t>г.</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424D6C6" w:rsidR="00A3170F" w:rsidRPr="004B3616" w:rsidRDefault="00A3170F" w:rsidP="00CE4999">
            <w:pPr>
              <w:ind w:firstLine="0"/>
              <w:jc w:val="center"/>
            </w:pPr>
            <w:r w:rsidRPr="004B3616">
              <w:rPr>
                <w:b/>
              </w:rPr>
              <w:t>Лот</w:t>
            </w:r>
            <w:r w:rsidR="004E560A">
              <w:rPr>
                <w:b/>
              </w:rPr>
              <w:t xml:space="preserve"> </w:t>
            </w:r>
            <w:r w:rsidR="00D81831">
              <w:rPr>
                <w:b/>
              </w:rPr>
              <w:t>14</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2EBCD3A9" w14:textId="77777777" w:rsidR="0048057D" w:rsidRDefault="00A3170F" w:rsidP="0048057D">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36EFF5FE" w:rsidR="00A3170F" w:rsidRPr="00B775BC" w:rsidRDefault="00A3170F" w:rsidP="0048057D">
            <w:pPr>
              <w:ind w:firstLine="174"/>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4256BB3" w:rsidR="0048057D" w:rsidRDefault="0048057D" w:rsidP="006C3C86">
      <w:pPr>
        <w:pStyle w:val="1"/>
      </w:pPr>
    </w:p>
    <w:p w14:paraId="5AA199E0" w14:textId="77777777" w:rsidR="0048057D" w:rsidRDefault="0048057D">
      <w:pPr>
        <w:ind w:firstLine="0"/>
        <w:jc w:val="left"/>
        <w:rPr>
          <w:b/>
          <w:bCs/>
          <w:lang w:eastAsia="en-US"/>
        </w:rPr>
      </w:pPr>
      <w:r>
        <w:br w:type="page"/>
      </w:r>
    </w:p>
    <w:p w14:paraId="61D5DE11" w14:textId="77777777" w:rsidR="00645090" w:rsidRPr="00453E82" w:rsidRDefault="00645090" w:rsidP="006C3C86">
      <w:pPr>
        <w:pStyle w:val="1"/>
      </w:pPr>
      <w:r w:rsidRPr="000D2362">
        <w:lastRenderedPageBreak/>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 xml:space="preserve">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w:t>
      </w:r>
      <w:proofErr w:type="gramStart"/>
      <w:r w:rsidRPr="00453E82">
        <w:t>потребительские свойства</w:t>
      </w:r>
      <w:proofErr w:type="gramEnd"/>
      <w:r w:rsidRPr="00453E82">
        <w:t xml:space="preserve"> имеющие государственную регистрацию в Республике </w:t>
      </w:r>
      <w:proofErr w:type="gramStart"/>
      <w:r w:rsidRPr="00453E82">
        <w:t>Беларусь)</w:t>
      </w:r>
      <w:r w:rsidRPr="00453E82">
        <w:rPr>
          <w:color w:val="000000"/>
        </w:rPr>
        <w:t xml:space="preserve"> </w:t>
      </w:r>
      <w:r w:rsidRPr="00453E82">
        <w:t xml:space="preserve"> </w:t>
      </w:r>
      <w:r w:rsidRPr="00453E82">
        <w:rPr>
          <w:color w:val="000000"/>
        </w:rPr>
        <w:t>или</w:t>
      </w:r>
      <w:proofErr w:type="gramEnd"/>
      <w:r w:rsidRPr="00453E82">
        <w:rPr>
          <w:color w:val="000000"/>
        </w:rPr>
        <w:t xml:space="preserve">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w:t>
      </w:r>
      <w:r w:rsidRPr="00453E82">
        <w:lastRenderedPageBreak/>
        <w:t>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w:t>
      </w:r>
      <w:r w:rsidR="00E322CB">
        <w:lastRenderedPageBreak/>
        <w:t xml:space="preserve">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w:t>
      </w:r>
      <w:proofErr w:type="gramStart"/>
      <w:r w:rsidRPr="000D2362">
        <w:t>одним изготовителем (производителем)</w:t>
      </w:r>
      <w:proofErr w:type="gramEnd"/>
      <w:r w:rsidRPr="000D2362">
        <w:t xml:space="preserve">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w:t>
      </w:r>
      <w:r w:rsidRPr="00FD1A29">
        <w:rPr>
          <w:color w:val="000000"/>
        </w:rPr>
        <w:lastRenderedPageBreak/>
        <w:t xml:space="preserve">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lastRenderedPageBreak/>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lastRenderedPageBreak/>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w:t>
      </w:r>
      <w:r w:rsidRPr="00A344A0">
        <w:lastRenderedPageBreak/>
        <w:t>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 xml:space="preserve">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Pr="006C1FD6">
        <w:rPr>
          <w:szCs w:val="30"/>
        </w:rPr>
        <w:lastRenderedPageBreak/>
        <w:t>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669D68A" w14:textId="77777777" w:rsidR="00296944" w:rsidRDefault="00296944" w:rsidP="009B6B5B">
            <w:pPr>
              <w:suppressAutoHyphens/>
              <w:autoSpaceDE w:val="0"/>
              <w:autoSpaceDN w:val="0"/>
              <w:adjustRightInd w:val="0"/>
              <w:ind w:firstLine="0"/>
              <w:jc w:val="center"/>
              <w:rPr>
                <w:sz w:val="14"/>
                <w:szCs w:val="16"/>
              </w:rPr>
            </w:pPr>
            <w:r>
              <w:rPr>
                <w:sz w:val="14"/>
                <w:szCs w:val="16"/>
              </w:rPr>
              <w:t>Цена за единицу товара в валюте предложения</w:t>
            </w:r>
          </w:p>
          <w:p w14:paraId="655842D3" w14:textId="77777777"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w:t>
      </w:r>
      <w:proofErr w:type="gramStart"/>
      <w:r w:rsidRPr="00E520B1">
        <w:rPr>
          <w:color w:val="000000"/>
          <w:highlight w:val="yellow"/>
        </w:rPr>
        <w:t>_)  бел</w:t>
      </w:r>
      <w:proofErr w:type="gramEnd"/>
      <w:r w:rsidRPr="00E520B1">
        <w:rPr>
          <w:color w:val="000000"/>
          <w:highlight w:val="yellow"/>
        </w:rPr>
        <w:t>.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2C410456"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025590AD" w14:textId="77777777" w:rsidR="00D81831" w:rsidRDefault="00D81831" w:rsidP="00D81831">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279BFFB0" w14:textId="77777777" w:rsidR="00D81831" w:rsidRDefault="00D81831" w:rsidP="00D8183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26ACC4F8" w14:textId="77777777" w:rsidR="00D81831" w:rsidRDefault="00D81831" w:rsidP="00D81831">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4D0D310A" w14:textId="77777777" w:rsidR="00D81831" w:rsidRDefault="00D81831" w:rsidP="00D8183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5C83DC95" w14:textId="77777777" w:rsidR="00D81831" w:rsidRDefault="00D81831" w:rsidP="00D81831">
      <w:pPr>
        <w:autoSpaceDE w:val="0"/>
        <w:autoSpaceDN w:val="0"/>
        <w:adjustRightInd w:val="0"/>
        <w:ind w:firstLine="709"/>
        <w:rPr>
          <w:b/>
          <w:color w:val="000000"/>
        </w:rPr>
      </w:pPr>
      <w:r>
        <w:rPr>
          <w:b/>
          <w:color w:val="000000"/>
        </w:rPr>
        <w:t>для нерезидентов Республики Беларусь:</w:t>
      </w:r>
    </w:p>
    <w:p w14:paraId="49B2389D" w14:textId="77777777" w:rsidR="00D81831" w:rsidRDefault="00D81831" w:rsidP="00D8183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proofErr w:type="gramStart"/>
      <w:r w:rsidRPr="00BC2D81">
        <w:rPr>
          <w:b/>
        </w:rPr>
        <w:t>)</w:t>
      </w:r>
      <w:r w:rsidRPr="00BC2D81">
        <w:t>:_</w:t>
      </w:r>
      <w:proofErr w:type="gramEnd"/>
      <w:r w:rsidRPr="00BC2D81">
        <w:t>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w:t>
      </w:r>
      <w:proofErr w:type="gramStart"/>
      <w:r w:rsidRPr="00BC2D81">
        <w:t>_)  [</w:t>
      </w:r>
      <w:proofErr w:type="gramEnd"/>
      <w:r w:rsidRPr="00BC2D81">
        <w:t>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3. место нахождения поставщика (почтовый и юридический </w:t>
      </w:r>
      <w:proofErr w:type="gramStart"/>
      <w:r w:rsidRPr="00062F27">
        <w:rPr>
          <w:rFonts w:ascii="Times New Roman" w:hAnsi="Times New Roman" w:cs="Times New Roman"/>
          <w:bCs/>
        </w:rPr>
        <w:t>адрес)_</w:t>
      </w:r>
      <w:proofErr w:type="gramEnd"/>
      <w:r w:rsidRPr="00062F27">
        <w:rPr>
          <w:rFonts w:ascii="Times New Roman" w:hAnsi="Times New Roman" w:cs="Times New Roman"/>
          <w:bCs/>
        </w:rPr>
        <w:t>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proofErr w:type="gramStart"/>
      <w:r w:rsidRPr="00D13EDB">
        <w:rPr>
          <w:b w:val="0"/>
          <w:color w:val="2A3439"/>
          <w:highlight w:val="green"/>
          <w:shd w:val="clear" w:color="auto" w:fill="FFFFFF"/>
        </w:rPr>
        <w:t>отсутствует  задолженности</w:t>
      </w:r>
      <w:proofErr w:type="gramEnd"/>
      <w:r w:rsidRPr="00D13EDB">
        <w:rPr>
          <w:b w:val="0"/>
          <w:color w:val="2A3439"/>
          <w:highlight w:val="green"/>
          <w:shd w:val="clear" w:color="auto" w:fill="FFFFFF"/>
        </w:rPr>
        <w:t xml:space="preserve">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 xml:space="preserve">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будет</w:t>
      </w:r>
      <w:proofErr w:type="gramEnd"/>
      <w:r w:rsidRPr="0085398F">
        <w:rPr>
          <w:color w:val="000000"/>
        </w:rPr>
        <w:t xml:space="preserve">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 xml:space="preserve">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цена</w:t>
      </w:r>
      <w:proofErr w:type="gramEnd"/>
      <w:r w:rsidRPr="0085398F">
        <w:rPr>
          <w:color w:val="000000"/>
        </w:rPr>
        <w:t xml:space="preserve">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A65A" w14:textId="77777777" w:rsidR="005A5485" w:rsidRDefault="005A5485" w:rsidP="007D7156">
      <w:r>
        <w:separator/>
      </w:r>
    </w:p>
  </w:endnote>
  <w:endnote w:type="continuationSeparator" w:id="0">
    <w:p w14:paraId="28B97F8C" w14:textId="77777777" w:rsidR="005A5485" w:rsidRDefault="005A5485"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689A" w14:textId="77777777" w:rsidR="005A5485" w:rsidRDefault="005A5485" w:rsidP="007D7156">
      <w:r>
        <w:separator/>
      </w:r>
    </w:p>
  </w:footnote>
  <w:footnote w:type="continuationSeparator" w:id="0">
    <w:p w14:paraId="6342CC97" w14:textId="77777777" w:rsidR="005A5485" w:rsidRDefault="005A5485"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2053072857">
    <w:abstractNumId w:val="7"/>
  </w:num>
  <w:num w:numId="2" w16cid:durableId="1320302577">
    <w:abstractNumId w:val="6"/>
  </w:num>
  <w:num w:numId="3" w16cid:durableId="1752308216">
    <w:abstractNumId w:val="10"/>
  </w:num>
  <w:num w:numId="4" w16cid:durableId="789054317">
    <w:abstractNumId w:val="9"/>
  </w:num>
  <w:num w:numId="5" w16cid:durableId="739600503">
    <w:abstractNumId w:val="1"/>
  </w:num>
  <w:num w:numId="6" w16cid:durableId="112361972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7495855">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007317374">
    <w:abstractNumId w:val="4"/>
  </w:num>
  <w:num w:numId="9" w16cid:durableId="955717125">
    <w:abstractNumId w:val="8"/>
  </w:num>
  <w:num w:numId="10" w16cid:durableId="1835340885">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882878">
    <w:abstractNumId w:val="5"/>
  </w:num>
  <w:num w:numId="12" w16cid:durableId="443312483">
    <w:abstractNumId w:val="2"/>
  </w:num>
  <w:num w:numId="13" w16cid:durableId="1691056752">
    <w:abstractNumId w:val="8"/>
  </w:num>
  <w:num w:numId="14" w16cid:durableId="433386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259959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208883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7383222">
    <w:abstractNumId w:val="8"/>
  </w:num>
  <w:num w:numId="18" w16cid:durableId="736247610">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053817">
    <w:abstractNumId w:val="3"/>
  </w:num>
  <w:num w:numId="20" w16cid:durableId="784466469">
    <w:abstractNumId w:val="8"/>
  </w:num>
  <w:num w:numId="21" w16cid:durableId="1263147450">
    <w:abstractNumId w:val="8"/>
  </w:num>
  <w:num w:numId="22" w16cid:durableId="1136483450">
    <w:abstractNumId w:val="0"/>
  </w:num>
  <w:num w:numId="23" w16cid:durableId="1545364116">
    <w:abstractNumId w:val="8"/>
    <w:lvlOverride w:ilvl="0">
      <w:startOverride w:val="20"/>
    </w:lvlOverride>
    <w:lvlOverride w:ilvl="1">
      <w:startOverride w:val="6"/>
    </w:lvlOverride>
    <w:lvlOverride w:ilvl="2">
      <w:startOverride w:val="1"/>
    </w:lvlOverride>
  </w:num>
  <w:num w:numId="24" w16cid:durableId="1965428930">
    <w:abstractNumId w:val="8"/>
    <w:lvlOverride w:ilvl="0">
      <w:startOverride w:val="20"/>
    </w:lvlOverride>
    <w:lvlOverride w:ilvl="1">
      <w:startOverride w:val="6"/>
    </w:lvlOverride>
    <w:lvlOverride w:ilvl="2">
      <w:startOverride w:val="1"/>
    </w:lvlOverride>
  </w:num>
  <w:num w:numId="25" w16cid:durableId="1541892151">
    <w:abstractNumId w:val="8"/>
    <w:lvlOverride w:ilvl="0">
      <w:startOverride w:val="20"/>
    </w:lvlOverride>
    <w:lvlOverride w:ilvl="1">
      <w:startOverride w:val="7"/>
    </w:lvlOverride>
    <w:lvlOverride w:ilvl="2">
      <w:startOverride w:val="1"/>
    </w:lvlOverride>
  </w:num>
  <w:num w:numId="26" w16cid:durableId="1190878431">
    <w:abstractNumId w:val="8"/>
    <w:lvlOverride w:ilvl="0">
      <w:startOverride w:val="20"/>
    </w:lvlOverride>
    <w:lvlOverride w:ilvl="1">
      <w:startOverride w:val="8"/>
    </w:lvlOverride>
  </w:num>
  <w:num w:numId="27" w16cid:durableId="893807024">
    <w:abstractNumId w:val="8"/>
    <w:lvlOverride w:ilvl="0">
      <w:startOverride w:val="20"/>
    </w:lvlOverride>
    <w:lvlOverride w:ilvl="1">
      <w:startOverride w:val="9"/>
    </w:lvlOverride>
  </w:num>
  <w:num w:numId="28" w16cid:durableId="406001207">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479B3"/>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1DF0"/>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4C4E"/>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057D"/>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928"/>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60A"/>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485"/>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2204"/>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CB"/>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3633"/>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4E1C"/>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CA"/>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5F64"/>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8EB"/>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831"/>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084037451">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32BC6-8299-4CAC-AF19-402EAC2D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27</Pages>
  <Words>8189</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54758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83</cp:revision>
  <cp:lastPrinted>2026-07-24T08:54:00Z</cp:lastPrinted>
  <dcterms:created xsi:type="dcterms:W3CDTF">2023-02-23T11:50:00Z</dcterms:created>
  <dcterms:modified xsi:type="dcterms:W3CDTF">2026-07-24T08:54:00Z</dcterms:modified>
</cp:coreProperties>
</file>