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6C624E" w:rsidP="009828C1">
      <w:pPr>
        <w:ind w:left="4248" w:firstLine="708"/>
        <w:rPr>
          <w:color w:val="000000"/>
        </w:rPr>
      </w:pPr>
      <w:r>
        <w:rPr>
          <w:color w:val="000000"/>
        </w:rPr>
        <w:t>22</w:t>
      </w:r>
      <w:r w:rsidR="009828C1" w:rsidRPr="009828C1">
        <w:rPr>
          <w:color w:val="000000"/>
        </w:rPr>
        <w:t>.0</w:t>
      </w:r>
      <w:r>
        <w:rPr>
          <w:color w:val="000000"/>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6D0AA9">
        <w:rPr>
          <w:color w:val="000000"/>
          <w:sz w:val="23"/>
          <w:szCs w:val="23"/>
        </w:rPr>
        <w:t>9</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C61D2C">
        <w:rPr>
          <w:b/>
          <w:color w:val="000000"/>
          <w:sz w:val="28"/>
          <w:szCs w:val="28"/>
        </w:rPr>
        <w:t>Диагностические наборы для ПЦР диагностики</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9828C1">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9828C1">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9828C1">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9828C1" w:rsidP="006C624E">
            <w:pPr>
              <w:widowControl w:val="0"/>
              <w:autoSpaceDE w:val="0"/>
              <w:autoSpaceDN w:val="0"/>
              <w:adjustRightInd w:val="0"/>
              <w:jc w:val="center"/>
              <w:rPr>
                <w:sz w:val="23"/>
                <w:szCs w:val="23"/>
              </w:rPr>
            </w:pPr>
            <w:r>
              <w:rPr>
                <w:sz w:val="23"/>
                <w:szCs w:val="23"/>
              </w:rPr>
              <w:t>2</w:t>
            </w:r>
            <w:r w:rsidR="00C61D2C">
              <w:rPr>
                <w:sz w:val="23"/>
                <w:szCs w:val="23"/>
              </w:rPr>
              <w:t>4</w:t>
            </w:r>
            <w:r w:rsidR="00AC52C1" w:rsidRPr="004E19BE">
              <w:rPr>
                <w:sz w:val="23"/>
                <w:szCs w:val="23"/>
              </w:rPr>
              <w:t>.</w:t>
            </w:r>
            <w:r w:rsidR="00A673D7">
              <w:rPr>
                <w:sz w:val="23"/>
                <w:szCs w:val="23"/>
              </w:rPr>
              <w:t>0</w:t>
            </w:r>
            <w:r w:rsidR="006C624E">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9828C1">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6C624E" w:rsidP="006C624E">
            <w:pPr>
              <w:pStyle w:val="ConsPlusNormal"/>
              <w:jc w:val="center"/>
              <w:rPr>
                <w:rFonts w:ascii="Times New Roman" w:hAnsi="Times New Roman" w:cs="Times New Roman"/>
                <w:sz w:val="23"/>
                <w:szCs w:val="23"/>
              </w:rPr>
            </w:pPr>
            <w:r>
              <w:rPr>
                <w:rFonts w:ascii="Times New Roman" w:eastAsia="Times New Roman" w:hAnsi="Times New Roman" w:cs="Times New Roman"/>
                <w:color w:val="000000"/>
                <w:sz w:val="23"/>
                <w:szCs w:val="23"/>
              </w:rPr>
              <w:t>900</w:t>
            </w:r>
            <w:r w:rsidR="009828C1" w:rsidRPr="009828C1">
              <w:rPr>
                <w:rFonts w:ascii="Times New Roman" w:eastAsia="Times New Roman" w:hAnsi="Times New Roman" w:cs="Times New Roman"/>
                <w:color w:val="000000"/>
                <w:sz w:val="23"/>
                <w:szCs w:val="23"/>
              </w:rPr>
              <w:t>,00 бел. рублей</w:t>
            </w:r>
          </w:p>
        </w:tc>
      </w:tr>
      <w:tr w:rsidR="002318E5" w:rsidRPr="004E19BE" w:rsidTr="009828C1">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9828C1" w:rsidRPr="007B4E63" w:rsidTr="009828C1">
        <w:tc>
          <w:tcPr>
            <w:tcW w:w="9923" w:type="dxa"/>
            <w:gridSpan w:val="2"/>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9828C1" w:rsidRPr="007B4E63" w:rsidTr="009828C1">
        <w:trPr>
          <w:trHeight w:val="597"/>
        </w:trPr>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C61D2C" w:rsidP="009828C1">
            <w:pPr>
              <w:jc w:val="center"/>
            </w:pPr>
            <w:r w:rsidRPr="00C61D2C">
              <w:rPr>
                <w:b/>
                <w:bCs/>
              </w:rPr>
              <w:t>Диагностические наборы для ПЦР диагностики</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C61D2C" w:rsidP="009828C1">
            <w:pPr>
              <w:jc w:val="center"/>
              <w:rPr>
                <w:bCs/>
              </w:rPr>
            </w:pPr>
            <w:r>
              <w:t>21.10.60.600</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C61D2C" w:rsidP="009828C1">
            <w:pPr>
              <w:jc w:val="center"/>
              <w:rPr>
                <w:bCs/>
              </w:rPr>
            </w:pPr>
            <w:r w:rsidRPr="00C61D2C">
              <w:rPr>
                <w:bCs/>
              </w:rPr>
              <w:t>Диагностические препараты (реагенты) микробного и вирусного происхождения; диагностические наборы, включающие в свой состав препараты иммунного происхождения</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9828C1" w:rsidRPr="007B4E63" w:rsidRDefault="006C624E" w:rsidP="006C624E">
            <w:pPr>
              <w:widowControl w:val="0"/>
              <w:jc w:val="center"/>
              <w:rPr>
                <w:bCs/>
              </w:rPr>
            </w:pPr>
            <w:r>
              <w:rPr>
                <w:bCs/>
              </w:rPr>
              <w:t>2</w:t>
            </w:r>
            <w:r w:rsidR="006D0AA9">
              <w:rPr>
                <w:bCs/>
              </w:rPr>
              <w:t xml:space="preserve"> шт.</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6D0AA9" w:rsidP="00C61D2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Поставка в течение </w:t>
            </w:r>
            <w:r w:rsidR="00C61D2C">
              <w:rPr>
                <w:rFonts w:ascii="Times New Roman" w:hAnsi="Times New Roman" w:cs="Times New Roman"/>
                <w:sz w:val="24"/>
                <w:szCs w:val="24"/>
              </w:rPr>
              <w:t>3</w:t>
            </w:r>
            <w:r>
              <w:rPr>
                <w:rFonts w:ascii="Times New Roman" w:hAnsi="Times New Roman" w:cs="Times New Roman"/>
                <w:sz w:val="24"/>
                <w:szCs w:val="24"/>
              </w:rPr>
              <w:t>0 календарных дней с даты подписания договора</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9828C1" w:rsidRPr="00BD03F1"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BD03F1" w:rsidRDefault="006C624E" w:rsidP="006C624E">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900</w:t>
            </w:r>
            <w:r w:rsidR="009828C1">
              <w:rPr>
                <w:rFonts w:ascii="Times New Roman" w:eastAsia="Times New Roman" w:hAnsi="Times New Roman" w:cs="Times New Roman"/>
                <w:sz w:val="24"/>
                <w:szCs w:val="24"/>
              </w:rPr>
              <w:t xml:space="preserve">,00 </w:t>
            </w:r>
            <w:r w:rsidR="009828C1">
              <w:rPr>
                <w:rFonts w:ascii="Times New Roman" w:eastAsia="Times New Roman" w:hAnsi="Times New Roman" w:cs="Times New Roman"/>
                <w:sz w:val="24"/>
                <w:szCs w:val="24"/>
                <w:lang w:val="en-US"/>
              </w:rPr>
              <w:t>BYN</w:t>
            </w:r>
          </w:p>
        </w:tc>
      </w:tr>
      <w:tr w:rsidR="009828C1" w:rsidRPr="007B4E63" w:rsidTr="009828C1">
        <w:tc>
          <w:tcPr>
            <w:tcW w:w="4677" w:type="dxa"/>
            <w:tcBorders>
              <w:top w:val="single" w:sz="4" w:space="0" w:color="auto"/>
              <w:left w:val="single" w:sz="4" w:space="0" w:color="auto"/>
              <w:bottom w:val="single" w:sz="4" w:space="0" w:color="auto"/>
              <w:right w:val="single" w:sz="4" w:space="0" w:color="auto"/>
            </w:tcBorders>
          </w:tcPr>
          <w:p w:rsidR="009828C1" w:rsidRPr="007B4E63" w:rsidRDefault="009828C1" w:rsidP="009828C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9828C1" w:rsidRPr="007B4E63" w:rsidRDefault="009828C1" w:rsidP="009828C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6D0AA9" w:rsidRPr="007B4E63" w:rsidTr="009828C1">
        <w:tc>
          <w:tcPr>
            <w:tcW w:w="4677" w:type="dxa"/>
            <w:tcBorders>
              <w:top w:val="single" w:sz="4" w:space="0" w:color="auto"/>
              <w:left w:val="single" w:sz="4" w:space="0" w:color="auto"/>
              <w:bottom w:val="single" w:sz="4" w:space="0" w:color="auto"/>
              <w:right w:val="single" w:sz="4" w:space="0" w:color="auto"/>
            </w:tcBorders>
          </w:tcPr>
          <w:p w:rsidR="006D0AA9" w:rsidRPr="007B4E63" w:rsidRDefault="006D0AA9" w:rsidP="009828C1">
            <w:pPr>
              <w:pStyle w:val="ConsPlusNormal"/>
              <w:rPr>
                <w:rFonts w:ascii="Times New Roman" w:hAnsi="Times New Roman" w:cs="Times New Roman"/>
                <w:sz w:val="24"/>
                <w:szCs w:val="24"/>
              </w:rPr>
            </w:pPr>
            <w:r w:rsidRPr="006D0AA9">
              <w:rPr>
                <w:rFonts w:ascii="Times New Roman" w:hAnsi="Times New Roman" w:cs="Times New Roman"/>
                <w:sz w:val="24"/>
                <w:szCs w:val="24"/>
              </w:rPr>
              <w:t>Описание предмета государственной закупки, его частей (лотов)</w:t>
            </w:r>
          </w:p>
        </w:tc>
        <w:tc>
          <w:tcPr>
            <w:tcW w:w="5246" w:type="dxa"/>
            <w:tcBorders>
              <w:top w:val="single" w:sz="4" w:space="0" w:color="auto"/>
              <w:left w:val="single" w:sz="4" w:space="0" w:color="auto"/>
              <w:bottom w:val="single" w:sz="4" w:space="0" w:color="auto"/>
              <w:right w:val="single" w:sz="4" w:space="0" w:color="auto"/>
            </w:tcBorders>
            <w:vAlign w:val="center"/>
          </w:tcPr>
          <w:p w:rsidR="006D0AA9" w:rsidRPr="007B4E63" w:rsidRDefault="00C61D2C" w:rsidP="006D0AA9">
            <w:pPr>
              <w:pStyle w:val="ConsPlusNormal"/>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закупку</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lastRenderedPageBreak/>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A52629" w:rsidRPr="00A52629" w:rsidRDefault="00A52629" w:rsidP="00A52629">
      <w:pPr>
        <w:widowControl w:val="0"/>
        <w:autoSpaceDE w:val="0"/>
        <w:autoSpaceDN w:val="0"/>
        <w:adjustRightInd w:val="0"/>
        <w:spacing w:line="276" w:lineRule="auto"/>
        <w:ind w:firstLine="540"/>
        <w:jc w:val="both"/>
        <w:rPr>
          <w:b/>
          <w:bCs/>
        </w:rPr>
      </w:pPr>
      <w:r w:rsidRPr="00A52629">
        <w:rPr>
          <w:b/>
          <w:bCs/>
          <w:lang w:val="en-US"/>
        </w:rPr>
        <w:t>I</w:t>
      </w:r>
      <w:r w:rsidRPr="00A52629">
        <w:rPr>
          <w:b/>
          <w:bCs/>
        </w:rPr>
        <w:t>V.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roofErr w:type="gramStart"/>
      <w:r w:rsidRPr="00A52629">
        <w:rPr>
          <w:b/>
          <w:bCs/>
        </w:rPr>
        <w:t>».</w:t>
      </w:r>
      <w:r w:rsidRPr="00A52629">
        <w:rPr>
          <w:b/>
          <w:bCs/>
          <w:lang w:val="en-US"/>
        </w:rPr>
        <w:t>V</w:t>
      </w:r>
      <w:r w:rsidRPr="00A52629">
        <w:rPr>
          <w:b/>
          <w:bCs/>
        </w:rPr>
        <w:t>.</w:t>
      </w:r>
      <w:proofErr w:type="gramEnd"/>
      <w:r w:rsidRPr="00A52629">
        <w:rPr>
          <w:b/>
          <w:bCs/>
        </w:rPr>
        <w:t xml:space="preserve"> Размер и порядок оплаты услуг заказчика: -</w:t>
      </w:r>
    </w:p>
    <w:p w:rsidR="00A52629" w:rsidRPr="00A52629" w:rsidRDefault="00A52629" w:rsidP="00A52629">
      <w:pPr>
        <w:widowControl w:val="0"/>
        <w:autoSpaceDE w:val="0"/>
        <w:autoSpaceDN w:val="0"/>
        <w:adjustRightInd w:val="0"/>
        <w:spacing w:line="276" w:lineRule="auto"/>
        <w:ind w:firstLine="540"/>
        <w:jc w:val="both"/>
      </w:pPr>
      <w:r w:rsidRPr="00A52629">
        <w:rPr>
          <w:b/>
          <w:bCs/>
          <w:lang w:val="en-US"/>
        </w:rPr>
        <w:t>V</w:t>
      </w:r>
      <w:r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0"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w:t>
      </w:r>
      <w:r w:rsidRPr="00A52629">
        <w:rPr>
          <w:color w:val="000000"/>
        </w:rPr>
        <w:lastRenderedPageBreak/>
        <w:t>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0"/>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1" w:name="_Ref13827770"/>
      <w:r w:rsidRPr="00A52629">
        <w:rPr>
          <w:b/>
        </w:rPr>
        <w:lastRenderedPageBreak/>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2"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2"/>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lastRenderedPageBreak/>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lastRenderedPageBreak/>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1"/>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lastRenderedPageBreak/>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3"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3"/>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w:t>
      </w:r>
      <w:r w:rsidRPr="00A52629">
        <w:rPr>
          <w:rFonts w:eastAsia="Calibri"/>
          <w:lang w:eastAsia="en-US"/>
        </w:rPr>
        <w:lastRenderedPageBreak/>
        <w:t>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4"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4"/>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xml:space="preserve">-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w:t>
      </w:r>
      <w:r w:rsidRPr="00A52629">
        <w:lastRenderedPageBreak/>
        <w:t>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 xml:space="preserve">по </w:t>
      </w:r>
      <w:r w:rsidR="00701287">
        <w:t>научной работе</w:t>
      </w:r>
      <w:r w:rsidRPr="00A52629">
        <w:t>:</w:t>
      </w:r>
      <w:r w:rsidR="00701287">
        <w:tab/>
      </w:r>
      <w:r w:rsidR="00701287">
        <w:tab/>
      </w:r>
      <w:r w:rsidR="00701287">
        <w:tab/>
      </w:r>
      <w:r w:rsidR="00701287">
        <w:tab/>
      </w:r>
      <w:r w:rsidR="00701287">
        <w:tab/>
        <w:t xml:space="preserve">                          Д.Ю.Рузанов</w:t>
      </w:r>
      <w:bookmarkStart w:id="5" w:name="_GoBack"/>
      <w:bookmarkEnd w:id="5"/>
      <w:r w:rsidRPr="00A52629">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sectPr w:rsidR="00657F47"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88" w:rsidRDefault="00777988" w:rsidP="00A52629">
      <w:r>
        <w:separator/>
      </w:r>
    </w:p>
  </w:endnote>
  <w:endnote w:type="continuationSeparator" w:id="0">
    <w:p w:rsidR="00777988" w:rsidRDefault="00777988"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88" w:rsidRDefault="00777988" w:rsidP="00A52629">
      <w:r>
        <w:separator/>
      </w:r>
    </w:p>
  </w:footnote>
  <w:footnote w:type="continuationSeparator" w:id="0">
    <w:p w:rsidR="00777988" w:rsidRDefault="00777988"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A2E52"/>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24E"/>
    <w:rsid w:val="006C6E24"/>
    <w:rsid w:val="006D0AA9"/>
    <w:rsid w:val="006D198B"/>
    <w:rsid w:val="006F56D5"/>
    <w:rsid w:val="00701287"/>
    <w:rsid w:val="00702F05"/>
    <w:rsid w:val="007033D1"/>
    <w:rsid w:val="00715CFC"/>
    <w:rsid w:val="00721A68"/>
    <w:rsid w:val="007475E7"/>
    <w:rsid w:val="00752698"/>
    <w:rsid w:val="00766D1E"/>
    <w:rsid w:val="00777988"/>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26008"/>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1E80"/>
    <w:rsid w:val="00BA2EFD"/>
    <w:rsid w:val="00BB11D5"/>
    <w:rsid w:val="00BB79EF"/>
    <w:rsid w:val="00BC0AE2"/>
    <w:rsid w:val="00BC6D34"/>
    <w:rsid w:val="00BD6DC8"/>
    <w:rsid w:val="00BE4EB8"/>
    <w:rsid w:val="00C14FA2"/>
    <w:rsid w:val="00C233CB"/>
    <w:rsid w:val="00C2781C"/>
    <w:rsid w:val="00C54666"/>
    <w:rsid w:val="00C5541C"/>
    <w:rsid w:val="00C604E7"/>
    <w:rsid w:val="00C61D2C"/>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350B7"/>
    <w:rsid w:val="00E40056"/>
    <w:rsid w:val="00E64665"/>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2CCD"/>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D2463-5655-4C12-9A5E-27AD5155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4955</Words>
  <Characters>28245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2026-03-18T09:03:00Z</cp:lastPrinted>
  <dcterms:created xsi:type="dcterms:W3CDTF">2026-07-22T14:16:00Z</dcterms:created>
  <dcterms:modified xsi:type="dcterms:W3CDTF">2026-07-22T14:43:00Z</dcterms:modified>
</cp:coreProperties>
</file>