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DA" w:rsidRDefault="00E64E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ПОКУПКУ «26/31-2 Иммунобиологические лекарственные средства (зарегистрированные/ незарегистрированные ЛС) (лот 1)»</w:t>
      </w:r>
    </w:p>
    <w:p w:rsidR="00392DDA" w:rsidRDefault="00FB0779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747DC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E64E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392DDA" w:rsidRDefault="00392DDA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7140"/>
      </w:tblGrid>
      <w:tr w:rsidR="00392DDA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392DDA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№2</w:t>
            </w:r>
          </w:p>
        </w:tc>
      </w:tr>
      <w:tr w:rsidR="00392DDA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392DDA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392DDA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покупку.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8501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FB0779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E64EB2">
              <w:rPr>
                <w:rFonts w:ascii="Times New Roman" w:eastAsia="Times New Roman" w:hAnsi="Times New Roman" w:cs="Times New Roman"/>
                <w:lang w:eastAsia="ru-RU"/>
              </w:rPr>
              <w:t xml:space="preserve">.2026 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размещения поставщиком на электронной торговой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8501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  <w:r w:rsidR="008747DC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E64EB2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8501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bookmarkStart w:id="0" w:name="_GoBack"/>
            <w:bookmarkEnd w:id="0"/>
            <w:r w:rsidR="008747DC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E64EB2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1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Допускаются к поставке лекарственные средства незарегистрированные в Республике Беларусь.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Лекарственный препарат должен соответствовать следующим требованиям.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применяются для профилактики, лечения и диагностики инфекционных заболеваний у детей и взрослых, в том числе в соответствии со сроками проведения профилактических прививок и возможностью одновременного введения с лекарственными препаратами, определенными Национальным календарем профилактических прививок, перечнем профилактических прививок по эпидемическим показаниям.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  <w:r>
              <w:rPr>
                <w:color w:val="000000"/>
                <w:sz w:val="22"/>
                <w:szCs w:val="22"/>
              </w:rPr>
              <w:tab/>
              <w:t>Перечень иммунобиологических лекарственных препаратов с установленной формой выпуска к закупке на 2026 год по каждой позиции указан в Приложении 1.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>ДОПОЛНИТЕЛЬНЫЕ УСЛОВИЯ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  <w:r>
              <w:rPr>
                <w:color w:val="000000"/>
                <w:sz w:val="22"/>
                <w:szCs w:val="22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поставляются и хранятся при соблюдении условий «</w:t>
            </w:r>
            <w:proofErr w:type="spellStart"/>
            <w:r>
              <w:rPr>
                <w:color w:val="000000"/>
                <w:sz w:val="22"/>
                <w:szCs w:val="22"/>
              </w:rPr>
              <w:t>холодовой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цепи», установленных производителем к конкретным препаратам.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 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  <w:r>
              <w:rPr>
                <w:color w:val="000000"/>
                <w:sz w:val="22"/>
                <w:szCs w:val="22"/>
              </w:rPr>
              <w:tab/>
              <w:t xml:space="preserve">Контейнеры, в которых поставляются 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(Туберкулин), должны быть оборудованы </w:t>
            </w:r>
            <w:proofErr w:type="spellStart"/>
            <w:r>
              <w:rPr>
                <w:color w:val="000000"/>
                <w:sz w:val="22"/>
                <w:szCs w:val="22"/>
              </w:rPr>
              <w:t>терморегистраторами</w:t>
            </w:r>
            <w:proofErr w:type="spellEnd"/>
            <w:r>
              <w:rPr>
                <w:color w:val="000000"/>
                <w:sz w:val="22"/>
                <w:szCs w:val="22"/>
              </w:rPr>
              <w:t>, позволяющими контролировать температуру в контейнере и проводить оценку её соблюдения в течение всего периода транспортировки.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3.Остаточный срок годности лекарственных средств по разделам плана J06 «Иммунные сыворотки и иммуноглобулины», J07 «Вакцины», </w:t>
            </w:r>
            <w:r>
              <w:rPr>
                <w:color w:val="000000"/>
                <w:sz w:val="22"/>
                <w:szCs w:val="22"/>
              </w:rPr>
              <w:lastRenderedPageBreak/>
              <w:t>V01 «Аллергены» (Аллерген туберкулезный рекомбинантный), V04 «Диагностические препараты» (Туберкулин) на дату поставки должен быть: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3.3.1. не менее 50% от установленного производителем на дату поставки, при сроке годности два года и более;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3.3.2. не менее 70% от установленного производителем на дату поставки, при сроке годности менее двух лет;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3.3.3. менее 50%, но не менее 30% от установленного производителем на дату поставки на объем, не превышающий квартальную потребность, по сниженной цене, при сроке годности два года и более;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3.3.4. менее 70%, но не менее 50% от установленного производителем на дату поставки на объем, не превышающий квартальную потребность, по сниженной цене, при сроке годности менее двух лет.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УСЛОВИЯ ПРОВЕДЕНИЯ ЗАКУПКИ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Для присуждения контрактов на закупку лекарственных средств,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будут использоваться следующие критерии: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предложений требованиям заявки на закупку;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возможность поставки в соответствии с графиком поставок; 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наименьшая цена.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Допускаются к закупке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зарегистрированные в Республике Беларусь лекарственные средства, а также лекарственные средства, обозначенные «*» – зарегистрированные/условно зарегистрированные/незарегистрированные.</w:t>
            </w:r>
          </w:p>
          <w:p w:rsidR="00392DDA" w:rsidRDefault="00E64EB2">
            <w:pPr>
              <w:pStyle w:val="ConsPlusNormal"/>
              <w:ind w:firstLine="5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1 </w:t>
            </w:r>
          </w:p>
          <w:p w:rsidR="00392DDA" w:rsidRDefault="00E64EB2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Перечень иммунобиологических лекарственных препаратов с установленной формой выпуска для проведения процедур централизованных государственных закупок на 2026 г.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1363"/>
              <w:gridCol w:w="989"/>
              <w:gridCol w:w="1647"/>
              <w:gridCol w:w="1494"/>
              <w:gridCol w:w="1035"/>
            </w:tblGrid>
            <w:tr w:rsidR="00392DDA">
              <w:tc>
                <w:tcPr>
                  <w:tcW w:w="45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№</w:t>
                  </w:r>
                </w:p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Форма выпуска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Обоснование (дополнение) формы выпуска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Целевые группы, которым показано введение ИЛП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Кратность введения ИЛП целевым группам</w:t>
                  </w:r>
                </w:p>
              </w:tc>
            </w:tr>
            <w:tr w:rsidR="00392DDA">
              <w:tc>
                <w:tcPr>
                  <w:tcW w:w="45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Вакцина для профилактики дифтерии, столбняка и коклюша (бесклеточная) *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суспензия для инъекций в/м 1 доз 0,5 мл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Суспензия для внутримышечного введения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Дети 2,3,4,18 мес. По индивидуальной схеме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vertAlign w:val="superscript"/>
                    </w:rPr>
                    <w:t>1,2</w:t>
                  </w:r>
                </w:p>
                <w:p w:rsidR="00392DDA" w:rsidRDefault="00392DD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:rsidR="00392DDA" w:rsidRDefault="00E64EB2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По одной дозе в указанный возраст</w:t>
                  </w:r>
                </w:p>
              </w:tc>
            </w:tr>
          </w:tbl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Примечание: 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– Постановление Министерства здравоохранения Республики Беларусь от 17.05.2018 № 42 «О профилактических прививках» (с изменениями в редакции постановления Министерства здравоохранения Республики Беларусь от 13.01.2025 № 3).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– Приказ Министерства здравоохранения Республики Беларусь от 27.02.2014 № 191 «Об утверждении Инструкции по тактике проведения профилактических прививок среди населения в Республике Беларусь».</w:t>
            </w:r>
          </w:p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Требования к содержанию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Ответ на заявку должен содержать следующие документы: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*в случае предложения к поставке зарегистрированного ЛП: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в Республике Беларусь по национальной процедуре или зарегистрированного в Республике Беларусь по процедуре Евразийского экономического союза,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*в случае предложения к поставке незарегистрированного ЛП: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92DDA" w:rsidRDefault="00E64EB2">
            <w:pPr>
              <w:pStyle w:val="ConsPlusNormal"/>
              <w:ind w:firstLine="567"/>
              <w:jc w:val="both"/>
              <w:rPr>
                <w:color w:val="000000"/>
                <w:sz w:val="22"/>
                <w:szCs w:val="22"/>
              </w:rPr>
            </w:pPr>
            <w:bookmarkStart w:id="1" w:name="_Hlk165978353"/>
            <w:r>
              <w:rPr>
                <w:color w:val="000000"/>
                <w:sz w:val="22"/>
                <w:szCs w:val="22"/>
              </w:rPr>
              <w:t>1. Копии одного из следующих документов с переводом на русский (белорусский) язык:</w:t>
            </w:r>
          </w:p>
          <w:bookmarkEnd w:id="1"/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графическое изображение экрана (скриншот) </w:t>
            </w:r>
            <w:r>
              <w:rPr>
                <w:rFonts w:ascii="Times New Roman" w:hAnsi="Times New Roman" w:cs="Times New Roman"/>
              </w:rPr>
              <w:br/>
              <w:t xml:space="preserve">интернет - страницы, распечатка с электронной базы, подтверждающие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</w:t>
            </w:r>
            <w:proofErr w:type="spellStart"/>
            <w:r>
              <w:rPr>
                <w:rFonts w:ascii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</w:t>
            </w:r>
            <w:proofErr w:type="spellStart"/>
            <w:r>
              <w:rPr>
                <w:rFonts w:ascii="Times New Roman" w:hAnsi="Times New Roman" w:cs="Times New Roman"/>
              </w:rPr>
              <w:t>SmPC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summary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графическое изображение экрана (скриншот) интернет - страницы Европейского агентства лекарственных препаратов либо распечатка с электронной базы Европейского агентства лекарственных препаратов либо копия документа, выданного Европейским агентством лекарственных препаратов (ЕАЛП, англ. </w:t>
            </w:r>
            <w:proofErr w:type="spellStart"/>
            <w:r>
              <w:rPr>
                <w:rFonts w:ascii="Times New Roman" w:hAnsi="Times New Roman" w:cs="Times New Roman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Medicines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(EMA)) по результатам централизованной процедуры регистрации - </w:t>
            </w:r>
            <w:proofErr w:type="spellStart"/>
            <w:r>
              <w:rPr>
                <w:rFonts w:ascii="Times New Roman" w:hAnsi="Times New Roman" w:cs="Times New Roman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Medicinal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 также </w:t>
            </w:r>
            <w:proofErr w:type="spellStart"/>
            <w:r>
              <w:rPr>
                <w:rFonts w:ascii="Times New Roman" w:hAnsi="Times New Roman" w:cs="Times New Roman"/>
              </w:rPr>
              <w:t>SmPC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summary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общая характеристика лекарственного препарата), выданное ЕАЛП, либо развернутое описание характеристик предлагаемого к закупке лекарственного препарата – инструкцию по медицинскому применению;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графическое изображение экрана (скриншот) интернет-страницы Всемирной Организации Здравоохранения (далее – ВОЗ) (адрес в сети интернет https://extranet.who.int/prequal/content/prequalified-lists/medicines), подтверждающее, что предлагаемый лекарственный препарат </w:t>
            </w:r>
            <w:proofErr w:type="spellStart"/>
            <w:r>
              <w:rPr>
                <w:rFonts w:ascii="Times New Roman" w:hAnsi="Times New Roman" w:cs="Times New Roman"/>
              </w:rPr>
              <w:t>преквалифицирован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ВОЗ, а также </w:t>
            </w:r>
            <w:proofErr w:type="spellStart"/>
            <w:r>
              <w:rPr>
                <w:rFonts w:ascii="Times New Roman" w:hAnsi="Times New Roman" w:cs="Times New Roman"/>
              </w:rPr>
              <w:t>SmPC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summary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общая характеристика лекарственного препарата), выданная регуляторным органом страны производства такого лекарственного препарата, либо развернутое описание характеристик предлагаемого к закупке лекарственного препарата – инструкцию по </w:t>
            </w:r>
            <w:r>
              <w:rPr>
                <w:rFonts w:ascii="Times New Roman" w:hAnsi="Times New Roman" w:cs="Times New Roman"/>
              </w:rPr>
              <w:lastRenderedPageBreak/>
              <w:t>медицинскому применению;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к поставке лекарственный препарат был зарегистрирован на территории Республики Беларусь;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регистрационного удостоверения на него истек не ранее, чем за 4 (четыре) года до истечения срока для подготовки и подачи предложений.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Также должна быть представлена </w:t>
            </w:r>
            <w:proofErr w:type="spellStart"/>
            <w:r>
              <w:rPr>
                <w:rFonts w:ascii="Times New Roman" w:hAnsi="Times New Roman" w:cs="Times New Roman"/>
              </w:rPr>
              <w:t>SmPC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summary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выданная для страны-производителя.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настоящего подпункта не распространяются на лекарственные препараты: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регистрационные удостоверения на которые были приостановлены в связи с неблагоприятным профилем безопасности лекарственного препарата;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регистрационные удостоверения на которые были приостановлены по инициативе Министерства здравоохранения Республики Беларусь;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государственной регистрации (перерегистрации, подтверждении регистрации) которых было отказано. </w:t>
            </w:r>
          </w:p>
          <w:p w:rsidR="00392DDA" w:rsidRDefault="00E64E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В качестве такого документа может быть представлен: сертификат </w:t>
            </w:r>
            <w:r>
              <w:rPr>
                <w:rFonts w:ascii="Times New Roman" w:hAnsi="Times New Roman" w:cs="Times New Roman"/>
                <w:lang w:val="en-US"/>
              </w:rPr>
              <w:t>GMP</w:t>
            </w:r>
            <w:r>
              <w:rPr>
                <w:rFonts w:ascii="Times New Roman" w:hAnsi="Times New Roman" w:cs="Times New Roman"/>
              </w:rPr>
              <w:t xml:space="preserve">, либо графическое изображение экрана (скриншот) с электронной базы </w:t>
            </w:r>
            <w:proofErr w:type="spellStart"/>
            <w:r>
              <w:rPr>
                <w:rFonts w:ascii="Times New Roman" w:hAnsi="Times New Roman" w:cs="Times New Roman"/>
              </w:rPr>
              <w:t>EudraGMDP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</w:t>
            </w:r>
            <w:proofErr w:type="gramStart"/>
            <w:r>
              <w:rPr>
                <w:rFonts w:ascii="Times New Roman" w:hAnsi="Times New Roman" w:cs="Times New Roman"/>
              </w:rPr>
              <w:t>том числе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      </w:r>
          </w:p>
          <w:p w:rsidR="00392DDA" w:rsidRDefault="00E64E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Гарантийные письма участника с переводом на русский (белорусский) язык: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 соблюдении условий хранения и транспортировки лекарственного препарата;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предоставлении при поставке лекарственного препарата информации от производителя о том, что данная серия уже применяется на рынке, для которого произведена, и не имеет претензий по качеству,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предоставлении к каждой упаковке перевода инструкции на русский язык и (или) белорусский язык и требуемое количество </w:t>
            </w:r>
            <w:proofErr w:type="spellStart"/>
            <w:r>
              <w:rPr>
                <w:rFonts w:ascii="Times New Roman" w:hAnsi="Times New Roman" w:cs="Times New Roman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 случае необходимости) при поставке незарегистрированного лекарственного препарата;</w:t>
            </w:r>
          </w:p>
          <w:p w:rsidR="00392DDA" w:rsidRDefault="00E64EB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      </w:r>
          </w:p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нерезидента Республики Беларусь валюта цены и валюта платежа должна быть одинаковой и выражена в RUB для резидентов Российской Федерации или в EUR для иных нерезидентов РБ (кроме резидентов РФ) по курсу Национального банка Республики Беларусь на конечную дату предоставления документов и (или) сведений поставщиками.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Справочно: данное требование установлено с целью исполнения покупателем финансовых обязательств по контракту. 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92DDA" w:rsidRDefault="00E64EB2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правонарушениях;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Par8"/>
            <w:bookmarkEnd w:id="2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юридическое или физическое лицо, в том числе индивидуальный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392DDA" w:rsidRDefault="00392DDA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392DDA" w:rsidRDefault="00E64EB2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 xml:space="preserve">* лекарственных средств, выданное уполномоченным органом страны </w:t>
            </w:r>
            <w:proofErr w:type="gramStart"/>
            <w:r>
              <w:rPr>
                <w:sz w:val="22"/>
                <w:szCs w:val="22"/>
              </w:rPr>
              <w:t>участника.*</w:t>
            </w:r>
            <w:proofErr w:type="gramEnd"/>
            <w:r>
              <w:rPr>
                <w:sz w:val="22"/>
                <w:szCs w:val="22"/>
              </w:rPr>
              <w:t>*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</w:t>
            </w:r>
            <w:r>
              <w:rPr>
                <w:rFonts w:ascii="Times New Roman" w:hAnsi="Times New Roman" w:cs="Times New Roman"/>
                <w:i/>
              </w:rPr>
              <w:lastRenderedPageBreak/>
              <w:t>территории Республики Беларусь или соответственно Российской Федерации;</w:t>
            </w:r>
          </w:p>
          <w:p w:rsidR="00392DDA" w:rsidRDefault="00E64EB2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392DDA" w:rsidRDefault="00E64EB2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392DDA" w:rsidRDefault="00E64EB2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</w:t>
            </w:r>
            <w:proofErr w:type="gramStart"/>
            <w:r>
              <w:rPr>
                <w:rFonts w:ascii="Times New Roman" w:hAnsi="Times New Roman" w:cs="Times New Roman"/>
              </w:rPr>
              <w:t>по форме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установленной в приложении 3 к заявке на покупку.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392DDA" w:rsidRDefault="00E64EB2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Совместное участие в процедуре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392DDA" w:rsidRDefault="00E64EB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Совместное участие в процедуре государственной закупки</w:t>
            </w:r>
          </w:p>
          <w:p w:rsidR="00392DDA" w:rsidRDefault="00392DDA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92DDA" w:rsidRDefault="00E64EB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Совместное участие в процедурах государственных закупок допускается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392DDA" w:rsidRDefault="00E64EB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392DDA" w:rsidRDefault="00E64EB2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lastRenderedPageBreak/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>
              <w:rPr>
                <w:rStyle w:val="fake-non-breaking-space"/>
                <w:sz w:val="22"/>
                <w:szCs w:val="22"/>
              </w:rPr>
              <w:t> </w:t>
            </w:r>
            <w:r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392DDA" w:rsidRDefault="00392DDA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392DDA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392DD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392DD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392DD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392DDA" w:rsidRDefault="00392DD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DDA" w:rsidRDefault="00392DD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779" w:rsidRPr="00FB0779" w:rsidRDefault="00FB0779" w:rsidP="00FB0779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 w:rsidR="00FB0779" w:rsidRPr="00FB0779" w:rsidRDefault="00FB0779" w:rsidP="00FB0779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 w:rsidR="00392DDA" w:rsidRDefault="00FB0779" w:rsidP="00FB0779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и тендерных закупок</w:t>
      </w: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proofErr w:type="spellStart"/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Трухан</w:t>
      </w:r>
      <w:proofErr w:type="spellEnd"/>
      <w:r w:rsidRPr="00FB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</w:t>
      </w:r>
    </w:p>
    <w:p w:rsidR="008747DC" w:rsidRDefault="008747D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7DC" w:rsidRDefault="008747D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DDA" w:rsidRDefault="00E64EB2" w:rsidP="00FB0779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392DDA" w:rsidRDefault="00E64EB2" w:rsidP="00FB0779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392DDA" w:rsidRDefault="00E64EB2" w:rsidP="00FB0779">
      <w:pPr>
        <w:tabs>
          <w:tab w:val="left" w:pos="426"/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392DDA" w:rsidRDefault="00E64EB2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br w:type="page"/>
      </w:r>
    </w:p>
    <w:p w:rsidR="00392DDA" w:rsidRDefault="00392D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DDA" w:rsidRDefault="00E64EB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</w:t>
      </w:r>
    </w:p>
    <w:p w:rsidR="00392DDA" w:rsidRDefault="00392D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DDA" w:rsidRDefault="00E64E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392DDA" w:rsidRDefault="00E64E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392DDA" w:rsidRDefault="00392DD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92DDA" w:rsidRDefault="00E64EB2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392DDA" w:rsidRDefault="00392DDA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392DDA" w:rsidRDefault="00E64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92DDA" w:rsidRDefault="00E64EB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392DDA" w:rsidRDefault="00392DD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92DDA" w:rsidRDefault="00392DD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92DDA" w:rsidRDefault="00392DD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392DDA" w:rsidRDefault="00E64E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392DDA" w:rsidRDefault="00392DDA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2D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D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D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2DD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392DDA" w:rsidRDefault="00E6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DA" w:rsidRDefault="00392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92DDA" w:rsidRDefault="00392DD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DDA" w:rsidRDefault="00392DDA"/>
    <w:p w:rsidR="00392DDA" w:rsidRDefault="00392DDA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DDA" w:rsidRDefault="00392DDA"/>
    <w:sectPr w:rsidR="003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1EA8"/>
    <w:multiLevelType w:val="hybridMultilevel"/>
    <w:tmpl w:val="70307580"/>
    <w:lvl w:ilvl="0" w:tplc="D242B5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DA"/>
    <w:rsid w:val="00392DDA"/>
    <w:rsid w:val="0085011F"/>
    <w:rsid w:val="008747DC"/>
    <w:rsid w:val="00E64EB2"/>
    <w:rsid w:val="00F0331A"/>
    <w:rsid w:val="00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AB8D"/>
  <w15:docId w15:val="{639F4789-6BF2-410B-872A-F804A4F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AAF6-FF9A-4A38-97B9-A695233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Зубковская</cp:lastModifiedBy>
  <cp:revision>42</cp:revision>
  <cp:lastPrinted>2026-07-17T09:37:00Z</cp:lastPrinted>
  <dcterms:created xsi:type="dcterms:W3CDTF">2025-08-27T19:48:00Z</dcterms:created>
  <dcterms:modified xsi:type="dcterms:W3CDTF">2026-07-17T12:20:00Z</dcterms:modified>
</cp:coreProperties>
</file>