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0EA" w:rsidRPr="006310EA" w:rsidRDefault="006310EA" w:rsidP="006310EA">
      <w:pPr>
        <w:widowControl w:val="0"/>
        <w:suppressAutoHyphens/>
        <w:autoSpaceDE w:val="0"/>
        <w:autoSpaceDN w:val="0"/>
        <w:adjustRightInd w:val="0"/>
        <w:spacing w:after="0" w:line="240" w:lineRule="auto"/>
        <w:ind w:left="4111"/>
        <w:rPr>
          <w:rFonts w:eastAsia="Times New Roman" w:cs="Times New Roman"/>
          <w:szCs w:val="30"/>
          <w:lang w:eastAsia="ru-RU"/>
        </w:rPr>
      </w:pPr>
      <w:bookmarkStart w:id="0" w:name="bookmark0"/>
      <w:bookmarkStart w:id="1" w:name="bookmark1"/>
      <w:bookmarkStart w:id="2" w:name="bookmark2"/>
      <w:r w:rsidRPr="006310EA">
        <w:rPr>
          <w:rFonts w:eastAsia="Times New Roman" w:cs="Times New Roman"/>
          <w:szCs w:val="30"/>
          <w:lang w:eastAsia="ru-RU"/>
        </w:rPr>
        <w:t>УТВЕРЖДАЮ</w:t>
      </w:r>
    </w:p>
    <w:p w:rsidR="00B03830" w:rsidRDefault="00B03830" w:rsidP="006310EA">
      <w:pPr>
        <w:widowControl w:val="0"/>
        <w:suppressAutoHyphens/>
        <w:autoSpaceDE w:val="0"/>
        <w:autoSpaceDN w:val="0"/>
        <w:adjustRightInd w:val="0"/>
        <w:spacing w:after="0" w:line="240" w:lineRule="auto"/>
        <w:ind w:left="4111"/>
        <w:rPr>
          <w:rFonts w:eastAsia="Times New Roman" w:cs="Times New Roman"/>
          <w:szCs w:val="30"/>
          <w:lang w:eastAsia="ru-RU"/>
        </w:rPr>
      </w:pPr>
      <w:r>
        <w:rPr>
          <w:rFonts w:eastAsia="Times New Roman" w:cs="Times New Roman"/>
          <w:szCs w:val="30"/>
          <w:lang w:eastAsia="ru-RU"/>
        </w:rPr>
        <w:t xml:space="preserve">Исполняющий обязанности </w:t>
      </w:r>
    </w:p>
    <w:p w:rsidR="006310EA" w:rsidRPr="006310EA" w:rsidRDefault="00B03830" w:rsidP="006310EA">
      <w:pPr>
        <w:widowControl w:val="0"/>
        <w:suppressAutoHyphens/>
        <w:autoSpaceDE w:val="0"/>
        <w:autoSpaceDN w:val="0"/>
        <w:adjustRightInd w:val="0"/>
        <w:spacing w:after="0" w:line="240" w:lineRule="auto"/>
        <w:ind w:left="4111"/>
        <w:rPr>
          <w:rFonts w:eastAsia="Times New Roman" w:cs="Times New Roman"/>
          <w:sz w:val="26"/>
          <w:szCs w:val="26"/>
          <w:lang w:eastAsia="ru-RU"/>
        </w:rPr>
      </w:pPr>
      <w:r>
        <w:rPr>
          <w:rFonts w:eastAsia="Times New Roman" w:cs="Times New Roman"/>
          <w:szCs w:val="30"/>
          <w:lang w:eastAsia="ru-RU"/>
        </w:rPr>
        <w:t>к</w:t>
      </w:r>
      <w:r w:rsidR="006310EA" w:rsidRPr="006310EA">
        <w:rPr>
          <w:rFonts w:eastAsia="Times New Roman" w:cs="Times New Roman"/>
          <w:szCs w:val="30"/>
          <w:lang w:eastAsia="ru-RU"/>
        </w:rPr>
        <w:t>омандир</w:t>
      </w:r>
      <w:r>
        <w:rPr>
          <w:rFonts w:eastAsia="Times New Roman" w:cs="Times New Roman"/>
          <w:szCs w:val="30"/>
          <w:lang w:eastAsia="ru-RU"/>
        </w:rPr>
        <w:t>а</w:t>
      </w:r>
      <w:r w:rsidR="006310EA" w:rsidRPr="006310EA">
        <w:rPr>
          <w:rFonts w:eastAsia="Times New Roman" w:cs="Times New Roman"/>
          <w:szCs w:val="30"/>
          <w:lang w:eastAsia="ru-RU"/>
        </w:rPr>
        <w:t xml:space="preserve"> войсковой части 25819</w:t>
      </w:r>
    </w:p>
    <w:p w:rsidR="006310EA" w:rsidRPr="006310EA" w:rsidRDefault="006310EA" w:rsidP="006310EA">
      <w:pPr>
        <w:widowControl w:val="0"/>
        <w:suppressAutoHyphens/>
        <w:autoSpaceDE w:val="0"/>
        <w:autoSpaceDN w:val="0"/>
        <w:adjustRightInd w:val="0"/>
        <w:spacing w:after="0" w:line="240" w:lineRule="auto"/>
        <w:ind w:left="4111"/>
        <w:jc w:val="both"/>
        <w:rPr>
          <w:rFonts w:eastAsia="Times New Roman" w:cs="Times New Roman"/>
          <w:szCs w:val="24"/>
          <w:lang w:eastAsia="ru-RU"/>
        </w:rPr>
      </w:pPr>
      <w:r w:rsidRPr="006310EA">
        <w:rPr>
          <w:rFonts w:eastAsia="Times New Roman" w:cs="Times New Roman"/>
          <w:szCs w:val="24"/>
          <w:lang w:eastAsia="ru-RU"/>
        </w:rPr>
        <w:t>подполковник</w:t>
      </w:r>
      <w:r w:rsidRPr="006310EA">
        <w:rPr>
          <w:rFonts w:eastAsia="Times New Roman" w:cs="Times New Roman"/>
          <w:szCs w:val="24"/>
          <w:lang w:eastAsia="ru-RU"/>
        </w:rPr>
        <w:tab/>
      </w:r>
      <w:r w:rsidRPr="006310EA">
        <w:rPr>
          <w:rFonts w:eastAsia="Times New Roman" w:cs="Times New Roman"/>
          <w:szCs w:val="24"/>
          <w:lang w:eastAsia="ru-RU"/>
        </w:rPr>
        <w:tab/>
      </w:r>
      <w:r w:rsidR="00ED7560">
        <w:rPr>
          <w:rFonts w:eastAsia="Times New Roman" w:cs="Times New Roman"/>
          <w:szCs w:val="24"/>
          <w:lang w:eastAsia="ru-RU"/>
        </w:rPr>
        <w:t>А.В.Макаревич</w:t>
      </w:r>
    </w:p>
    <w:p w:rsidR="006310EA" w:rsidRPr="006310EA" w:rsidRDefault="006310EA" w:rsidP="006310EA">
      <w:pPr>
        <w:widowControl w:val="0"/>
        <w:suppressAutoHyphens/>
        <w:autoSpaceDE w:val="0"/>
        <w:autoSpaceDN w:val="0"/>
        <w:adjustRightInd w:val="0"/>
        <w:spacing w:after="0" w:line="240" w:lineRule="auto"/>
        <w:ind w:left="4111"/>
        <w:jc w:val="both"/>
        <w:rPr>
          <w:rFonts w:eastAsia="Times New Roman" w:cs="Times New Roman"/>
          <w:szCs w:val="24"/>
          <w:lang w:eastAsia="ru-RU"/>
        </w:rPr>
      </w:pPr>
      <w:r w:rsidRPr="006310EA">
        <w:rPr>
          <w:rFonts w:eastAsia="Times New Roman" w:cs="Times New Roman"/>
          <w:szCs w:val="24"/>
          <w:lang w:eastAsia="ru-RU"/>
        </w:rPr>
        <w:t>«____» __________ 20__ г.</w:t>
      </w:r>
    </w:p>
    <w:p w:rsidR="008A29A1" w:rsidRPr="008A29A1" w:rsidRDefault="008A29A1" w:rsidP="008A29A1">
      <w:pPr>
        <w:spacing w:before="120" w:after="0" w:line="240" w:lineRule="auto"/>
        <w:ind w:firstLine="567"/>
        <w:jc w:val="center"/>
        <w:rPr>
          <w:szCs w:val="30"/>
          <w:lang w:eastAsia="ru-RU"/>
        </w:rPr>
      </w:pPr>
      <w:r w:rsidRPr="008A29A1">
        <w:rPr>
          <w:szCs w:val="30"/>
          <w:lang w:eastAsia="ru-RU"/>
        </w:rPr>
        <w:t>КОНКУРСНЫЕ ДОКУМЕНТЫ</w:t>
      </w:r>
    </w:p>
    <w:bookmarkEnd w:id="0"/>
    <w:bookmarkEnd w:id="1"/>
    <w:bookmarkEnd w:id="2"/>
    <w:p w:rsidR="00933CAE" w:rsidRPr="00E92D79" w:rsidRDefault="00933CAE" w:rsidP="002201E2">
      <w:pPr>
        <w:pStyle w:val="1"/>
        <w:ind w:firstLine="740"/>
        <w:jc w:val="both"/>
      </w:pPr>
      <w:r w:rsidRPr="00E92D79">
        <w:rPr>
          <w:color w:val="000000"/>
        </w:rPr>
        <w:t>I. Приглашение к участию в процедуре государственной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65"/>
        <w:gridCol w:w="4811"/>
      </w:tblGrid>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Вид процедуры государственной закупки</w:t>
            </w:r>
          </w:p>
        </w:tc>
        <w:tc>
          <w:tcPr>
            <w:tcW w:w="4811" w:type="dxa"/>
            <w:shd w:val="clear" w:color="auto" w:fill="FFFFFF"/>
          </w:tcPr>
          <w:p w:rsidR="00933CAE" w:rsidRPr="0016542D" w:rsidRDefault="0016542D" w:rsidP="00933CAE">
            <w:pPr>
              <w:spacing w:after="0" w:line="240" w:lineRule="auto"/>
              <w:rPr>
                <w:sz w:val="26"/>
                <w:szCs w:val="26"/>
                <w:lang w:val="en-US"/>
              </w:rPr>
            </w:pPr>
            <w:r>
              <w:rPr>
                <w:sz w:val="26"/>
                <w:szCs w:val="26"/>
              </w:rPr>
              <w:t>Открытый конкурс</w:t>
            </w:r>
          </w:p>
        </w:tc>
      </w:tr>
      <w:tr w:rsidR="00933CAE" w:rsidRPr="00933CAE" w:rsidTr="009E7EBC">
        <w:tc>
          <w:tcPr>
            <w:tcW w:w="9776" w:type="dxa"/>
            <w:gridSpan w:val="2"/>
            <w:shd w:val="clear" w:color="auto" w:fill="FFFFFF"/>
          </w:tcPr>
          <w:p w:rsidR="00933CAE" w:rsidRPr="00933CAE" w:rsidRDefault="00933CAE" w:rsidP="00933CAE">
            <w:pPr>
              <w:spacing w:after="0" w:line="240" w:lineRule="auto"/>
              <w:rPr>
                <w:sz w:val="26"/>
                <w:szCs w:val="26"/>
              </w:rPr>
            </w:pPr>
            <w:r w:rsidRPr="00933CAE">
              <w:rPr>
                <w:sz w:val="26"/>
                <w:szCs w:val="26"/>
              </w:rPr>
              <w:t>Сведения о заказчике</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Наименование (для юридического лица) либо фамилия, собственное имя, отчество (при наличии)</w:t>
            </w:r>
            <w:r w:rsidRPr="00933CAE">
              <w:rPr>
                <w:sz w:val="26"/>
                <w:szCs w:val="26"/>
              </w:rPr>
              <w:tab/>
              <w:t>(для</w:t>
            </w:r>
            <w:r w:rsidRPr="00933CAE">
              <w:rPr>
                <w:sz w:val="26"/>
                <w:szCs w:val="26"/>
              </w:rPr>
              <w:tab/>
              <w:t>индивидуального</w:t>
            </w:r>
          </w:p>
          <w:p w:rsidR="00933CAE" w:rsidRPr="00933CAE" w:rsidRDefault="00933CAE" w:rsidP="00933CAE">
            <w:pPr>
              <w:spacing w:after="0" w:line="240" w:lineRule="auto"/>
              <w:rPr>
                <w:sz w:val="26"/>
                <w:szCs w:val="26"/>
              </w:rPr>
            </w:pPr>
            <w:r w:rsidRPr="00933CAE">
              <w:rPr>
                <w:sz w:val="26"/>
                <w:szCs w:val="26"/>
              </w:rPr>
              <w:t>предпринимателя)</w:t>
            </w:r>
          </w:p>
        </w:tc>
        <w:tc>
          <w:tcPr>
            <w:tcW w:w="4811" w:type="dxa"/>
            <w:shd w:val="clear" w:color="auto" w:fill="FFFFFF"/>
          </w:tcPr>
          <w:p w:rsidR="00933CAE" w:rsidRPr="00E92D79" w:rsidRDefault="00933CAE" w:rsidP="00933CAE">
            <w:pPr>
              <w:spacing w:after="0" w:line="240" w:lineRule="auto"/>
              <w:rPr>
                <w:sz w:val="26"/>
                <w:szCs w:val="26"/>
              </w:rPr>
            </w:pPr>
            <w:r w:rsidRPr="00933CAE">
              <w:rPr>
                <w:sz w:val="26"/>
                <w:szCs w:val="26"/>
              </w:rPr>
              <w:t xml:space="preserve">Войсковая часть </w:t>
            </w:r>
            <w:r w:rsidR="00E92D79">
              <w:rPr>
                <w:sz w:val="26"/>
                <w:szCs w:val="26"/>
              </w:rPr>
              <w:t>25819</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Место нахождения (для юридического лица) либо место жительства (для индивидуального предпринимателя)</w:t>
            </w:r>
          </w:p>
        </w:tc>
        <w:tc>
          <w:tcPr>
            <w:tcW w:w="4811" w:type="dxa"/>
            <w:shd w:val="clear" w:color="auto" w:fill="FFFFFF"/>
          </w:tcPr>
          <w:p w:rsidR="00933CAE" w:rsidRPr="00E92D79" w:rsidRDefault="00E92D79" w:rsidP="00933CAE">
            <w:pPr>
              <w:spacing w:after="0" w:line="240" w:lineRule="auto"/>
              <w:rPr>
                <w:sz w:val="26"/>
                <w:szCs w:val="26"/>
              </w:rPr>
            </w:pPr>
            <w:r>
              <w:rPr>
                <w:sz w:val="26"/>
                <w:szCs w:val="26"/>
              </w:rPr>
              <w:t>Минская</w:t>
            </w:r>
            <w:r w:rsidR="00933CAE" w:rsidRPr="00933CAE">
              <w:rPr>
                <w:sz w:val="26"/>
                <w:szCs w:val="26"/>
              </w:rPr>
              <w:t xml:space="preserve"> область, </w:t>
            </w:r>
            <w:r>
              <w:rPr>
                <w:sz w:val="26"/>
                <w:szCs w:val="26"/>
              </w:rPr>
              <w:t xml:space="preserve">н.п. </w:t>
            </w:r>
            <w:r w:rsidR="0016542D">
              <w:rPr>
                <w:sz w:val="26"/>
                <w:szCs w:val="26"/>
              </w:rPr>
              <w:t>Новоколосово</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Учетный номер плательщика (при наличии)</w:t>
            </w:r>
          </w:p>
        </w:tc>
        <w:tc>
          <w:tcPr>
            <w:tcW w:w="4811" w:type="dxa"/>
            <w:shd w:val="clear" w:color="auto" w:fill="FFFFFF"/>
          </w:tcPr>
          <w:p w:rsidR="00933CAE" w:rsidRPr="00726D29" w:rsidRDefault="00726D29" w:rsidP="00933CAE">
            <w:pPr>
              <w:spacing w:after="0" w:line="240" w:lineRule="auto"/>
              <w:rPr>
                <w:sz w:val="26"/>
                <w:szCs w:val="26"/>
              </w:rPr>
            </w:pPr>
            <w:r>
              <w:rPr>
                <w:sz w:val="26"/>
                <w:szCs w:val="26"/>
              </w:rPr>
              <w:t>600044611</w:t>
            </w:r>
          </w:p>
        </w:tc>
      </w:tr>
      <w:tr w:rsidR="00933CAE" w:rsidRPr="00933CAE" w:rsidTr="009E7EBC">
        <w:tc>
          <w:tcPr>
            <w:tcW w:w="9776" w:type="dxa"/>
            <w:gridSpan w:val="2"/>
            <w:shd w:val="clear" w:color="auto" w:fill="FFFFFF"/>
          </w:tcPr>
          <w:p w:rsidR="00933CAE" w:rsidRPr="00933CAE" w:rsidRDefault="00933CAE" w:rsidP="00933CAE">
            <w:pPr>
              <w:spacing w:after="0" w:line="240" w:lineRule="auto"/>
              <w:rPr>
                <w:sz w:val="26"/>
                <w:szCs w:val="26"/>
              </w:rPr>
            </w:pPr>
            <w:r w:rsidRPr="00933CAE">
              <w:rPr>
                <w:sz w:val="26"/>
                <w:szCs w:val="26"/>
              </w:rPr>
              <w:t>Сведения о</w:t>
            </w:r>
            <w:r w:rsidR="008A29A1">
              <w:rPr>
                <w:sz w:val="26"/>
                <w:szCs w:val="26"/>
              </w:rPr>
              <w:t>б открытом конкурсе</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Дата истечения срока для подготовки и подачи предложений</w:t>
            </w:r>
          </w:p>
        </w:tc>
        <w:tc>
          <w:tcPr>
            <w:tcW w:w="4811" w:type="dxa"/>
            <w:shd w:val="clear" w:color="auto" w:fill="FFFFFF"/>
          </w:tcPr>
          <w:p w:rsidR="00933CAE" w:rsidRPr="00933CAE" w:rsidRDefault="008A29A1" w:rsidP="00BC7F1D">
            <w:pPr>
              <w:spacing w:after="0" w:line="240" w:lineRule="auto"/>
              <w:rPr>
                <w:sz w:val="26"/>
                <w:szCs w:val="26"/>
              </w:rPr>
            </w:pPr>
            <w:r>
              <w:rPr>
                <w:sz w:val="26"/>
                <w:szCs w:val="26"/>
              </w:rPr>
              <w:t>15</w:t>
            </w:r>
            <w:r w:rsidR="00933CAE" w:rsidRPr="00933CAE">
              <w:rPr>
                <w:sz w:val="26"/>
                <w:szCs w:val="26"/>
              </w:rPr>
              <w:t xml:space="preserve"> дней с момента размещения документов на ЭТП</w:t>
            </w:r>
          </w:p>
        </w:tc>
      </w:tr>
      <w:tr w:rsidR="009E7EBC" w:rsidRPr="00933CAE" w:rsidTr="009E7EBC">
        <w:tc>
          <w:tcPr>
            <w:tcW w:w="4965" w:type="dxa"/>
            <w:shd w:val="clear" w:color="auto" w:fill="FFFFFF"/>
          </w:tcPr>
          <w:p w:rsidR="00933CAE" w:rsidRPr="00933CAE" w:rsidRDefault="00B0505E" w:rsidP="00933CAE">
            <w:pPr>
              <w:spacing w:after="0" w:line="240" w:lineRule="auto"/>
              <w:rPr>
                <w:sz w:val="26"/>
                <w:szCs w:val="26"/>
              </w:rPr>
            </w:pPr>
            <w:r>
              <w:rPr>
                <w:sz w:val="26"/>
                <w:szCs w:val="26"/>
              </w:rPr>
              <w:t>Предельная</w:t>
            </w:r>
            <w:r w:rsidR="00933CAE" w:rsidRPr="00933CAE">
              <w:rPr>
                <w:sz w:val="26"/>
                <w:szCs w:val="26"/>
              </w:rPr>
              <w:tab/>
              <w:t>стоимость</w:t>
            </w:r>
            <w:r w:rsidR="00933CAE" w:rsidRPr="00933CAE">
              <w:rPr>
                <w:sz w:val="26"/>
                <w:szCs w:val="26"/>
              </w:rPr>
              <w:tab/>
              <w:t>предмета</w:t>
            </w:r>
          </w:p>
          <w:p w:rsidR="00933CAE" w:rsidRPr="00933CAE" w:rsidRDefault="00933CAE" w:rsidP="00933CAE">
            <w:pPr>
              <w:spacing w:after="0" w:line="240" w:lineRule="auto"/>
              <w:rPr>
                <w:sz w:val="26"/>
                <w:szCs w:val="26"/>
              </w:rPr>
            </w:pPr>
            <w:r w:rsidRPr="00933CAE">
              <w:rPr>
                <w:sz w:val="26"/>
                <w:szCs w:val="26"/>
              </w:rPr>
              <w:t>государственной закупки</w:t>
            </w:r>
          </w:p>
        </w:tc>
        <w:tc>
          <w:tcPr>
            <w:tcW w:w="4811" w:type="dxa"/>
            <w:shd w:val="clear" w:color="auto" w:fill="FFFFFF"/>
          </w:tcPr>
          <w:p w:rsidR="00933CAE" w:rsidRPr="00AB7C8A" w:rsidRDefault="00130F32" w:rsidP="00933CAE">
            <w:pPr>
              <w:spacing w:after="0" w:line="240" w:lineRule="auto"/>
              <w:rPr>
                <w:sz w:val="26"/>
                <w:szCs w:val="26"/>
                <w:lang w:val="en-US"/>
              </w:rPr>
            </w:pPr>
            <w:r>
              <w:rPr>
                <w:sz w:val="26"/>
                <w:szCs w:val="26"/>
              </w:rPr>
              <w:t>242 990,99</w:t>
            </w:r>
            <w:r w:rsidR="00EE37F1" w:rsidRPr="00EE37F1">
              <w:rPr>
                <w:sz w:val="26"/>
                <w:szCs w:val="26"/>
                <w:lang w:val="en-US"/>
              </w:rPr>
              <w:t xml:space="preserve"> руб.</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Требования к участникам, документы и (или) сведения для проверки требований к участникам</w:t>
            </w:r>
          </w:p>
        </w:tc>
        <w:tc>
          <w:tcPr>
            <w:tcW w:w="4811" w:type="dxa"/>
            <w:shd w:val="clear" w:color="auto" w:fill="FFFFFF"/>
          </w:tcPr>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В соответствии с п. 2 ст. 16 Закона Республики Беларусь от 13.07.2012 № 419-З «О государственных закупках товаров (работ, услуг)», в том числе частью третьей подп.1.7 п.1 Постановления Совмина от 15.06.2019 N 395 к участникам предъявляются следующие требования: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w:t>
            </w:r>
            <w:r w:rsidRPr="00B0505E">
              <w:rPr>
                <w:rFonts w:eastAsia="Calibri" w:cs="Times New Roman"/>
                <w:sz w:val="24"/>
                <w:szCs w:val="24"/>
              </w:rPr>
              <w:lastRenderedPageBreak/>
              <w:t>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Соответствие требованию подтверждается: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участниками, являющимися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2.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 </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 Соответствие данному требованию подтверждается путем проверки оператором электронной торговой площадки.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 подаваемым по форме, установленной регламентом оператора электронной торговой площадки.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3. Юридическое или физическое лицо, в том числе индивидуальный предприниматель, с учетом положений ст. 16-1 Закона «О государственных закупках товаров (работ, </w:t>
            </w:r>
            <w:r w:rsidRPr="00B0505E">
              <w:rPr>
                <w:rFonts w:eastAsia="Calibri" w:cs="Times New Roman"/>
                <w:sz w:val="24"/>
                <w:szCs w:val="24"/>
              </w:rPr>
              <w:lastRenderedPageBreak/>
              <w:t>услуг)» не должно быть аффилировано с заказчиком, организатором.</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Юридическое или физическое лицо, в том числе индивидуальный предприниматель, являющееся участником-победителем, с учетом положений ст. 16-1 Закона «О государственных закупках товаров (работ, услуг)» не должно быть аффилировано со всеми другими участниками, допущенными к торгам (а если предмет государственной закупки разделен на части (лоты) - с участниками по той же части (лоту)). </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Соответствие указанному требованию подтверждается только участником-победителем путем подачи заявления по форме, установленной регламентом оператора электронной торговой площадки, в срок не позднее трех рабочих дней со дня уведомления участников о выборе участника-победителя.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4.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lastRenderedPageBreak/>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6. Физическое лицо не должно являться работником заказчика (организатора).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8. В отношении юридического лица и индивидуального предпринимателя не должно быть возбуждено производство по делу о банкротстве.</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10.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частями 1, 7, 8 и 10 ст. 14.4, частями 4 и 5 ст. 14.5 Кодекса об административных правонарушениях;</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11.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lastRenderedPageBreak/>
              <w:t>12.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об административных правонарушениях;</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14.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17. Предоставление копии свидетельства о государственной регистрации;</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18. наличие в случаях, установленных законодательством, декларации о соответствии или сертификата соответствия работ, подтверждается заверенной копией соответствующей декларации и (или) сертификата;</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19.</w:t>
            </w:r>
            <w:r w:rsidRPr="00B0505E">
              <w:rPr>
                <w:rFonts w:eastAsia="Calibri" w:cs="Times New Roman"/>
                <w:sz w:val="24"/>
                <w:szCs w:val="24"/>
                <w:shd w:val="clear" w:color="auto" w:fill="FFFFFF"/>
              </w:rPr>
              <w:t xml:space="preserve"> Способность участника выполнить работы (оказать услуги) на сумму не менее 50 процентов стоимости работ (услуг), составляющих предмет государственной закупки, собственными силами</w:t>
            </w:r>
            <w:r w:rsidRPr="00B0505E">
              <w:rPr>
                <w:rFonts w:eastAsia="Calibri" w:cs="Times New Roman"/>
                <w:sz w:val="24"/>
                <w:szCs w:val="24"/>
              </w:rPr>
              <w:t xml:space="preserve"> подтверждается </w:t>
            </w:r>
            <w:r w:rsidRPr="00B0505E">
              <w:rPr>
                <w:rFonts w:eastAsia="Calibri" w:cs="Times New Roman"/>
                <w:sz w:val="24"/>
                <w:szCs w:val="24"/>
                <w:shd w:val="clear" w:color="auto" w:fill="FFFFFF"/>
              </w:rPr>
              <w:t xml:space="preserve">документом, подписанным участником, о выполнении работ (оказании услуг), составляющих предмет </w:t>
            </w:r>
            <w:r w:rsidRPr="00B0505E">
              <w:rPr>
                <w:rFonts w:eastAsia="Calibri" w:cs="Times New Roman"/>
                <w:sz w:val="24"/>
                <w:szCs w:val="24"/>
                <w:shd w:val="clear" w:color="auto" w:fill="FFFFFF"/>
              </w:rPr>
              <w:lastRenderedPageBreak/>
              <w:t>государственной закупки, собственными силами</w:t>
            </w:r>
            <w:r w:rsidRPr="00B0505E">
              <w:rPr>
                <w:rFonts w:eastAsia="Calibri" w:cs="Times New Roman"/>
                <w:sz w:val="24"/>
                <w:szCs w:val="24"/>
              </w:rPr>
              <w:t>;</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20</w:t>
            </w:r>
            <w:r w:rsidRPr="00B0505E">
              <w:rPr>
                <w:rFonts w:eastAsia="Calibri" w:cs="Times New Roman"/>
                <w:sz w:val="24"/>
                <w:szCs w:val="24"/>
                <w:shd w:val="clear" w:color="auto" w:fill="FFFFFF"/>
              </w:rPr>
              <w:t xml:space="preserve">. Наличие опыта исполнения </w:t>
            </w:r>
            <w:r w:rsidRPr="00B0505E">
              <w:rPr>
                <w:rFonts w:eastAsia="Calibri" w:cs="Times New Roman"/>
                <w:sz w:val="24"/>
                <w:szCs w:val="24"/>
                <w:shd w:val="clear" w:color="auto" w:fill="FFFFFF"/>
              </w:rPr>
              <w:br/>
              <w:t>(с учетом правопреемства) сопоставимых по цене (договоры, цена которых составляет не менее 50 процентов предельной стоимости предмета государственной закупки или его части (лота)) договоров на выполнение работ (оказание услуг), составляющих предмет государственной закупки, или аналогичных работ (услуг) более трех лет до даты подачи предложения</w:t>
            </w:r>
            <w:r w:rsidRPr="00B0505E">
              <w:rPr>
                <w:rFonts w:eastAsia="Calibri" w:cs="Times New Roman"/>
                <w:sz w:val="24"/>
                <w:szCs w:val="24"/>
              </w:rPr>
              <w:t xml:space="preserve"> подтверждается </w:t>
            </w:r>
            <w:r w:rsidRPr="00B0505E">
              <w:rPr>
                <w:rFonts w:eastAsia="Calibri" w:cs="Times New Roman"/>
                <w:sz w:val="24"/>
                <w:szCs w:val="24"/>
                <w:shd w:val="clear" w:color="auto" w:fill="FFFFFF"/>
              </w:rPr>
              <w:t>реестром исполненных участником (с учетом правопреемства) договоров о выполнении сопоставимых по цене работ (оказании услуг), составляющих предмет государственной закупки, или аналогичных работ (услуг), содержащим в том числе сведения о заказчиках, предмете договора, сроках его исполнения и цене. В указанном реестре должно быть не менее трех договоров, хотя бы по одному из которых работы выполнялись (услуги оказывались) за пределами трехлетнего срока до даты подачи предложения</w:t>
            </w:r>
            <w:r w:rsidRPr="00B0505E">
              <w:rPr>
                <w:rFonts w:eastAsia="Calibri" w:cs="Times New Roman"/>
                <w:sz w:val="24"/>
                <w:szCs w:val="24"/>
              </w:rPr>
              <w:t>;</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shd w:val="clear" w:color="auto" w:fill="FFFFFF"/>
              </w:rPr>
              <w:t>21. Деловая репутация участника подтверждается не менее чем тремя положительными отзывами о качестве и соблюдении сроков выполнения сопоставимых по цене работ (оказания услуг), составляющих предмет государственной закупки, или аналогичных работ (услуг)</w:t>
            </w:r>
            <w:r w:rsidRPr="00B0505E">
              <w:rPr>
                <w:rFonts w:eastAsia="Calibri" w:cs="Times New Roman"/>
                <w:sz w:val="24"/>
                <w:szCs w:val="24"/>
              </w:rPr>
              <w:t>;</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shd w:val="clear" w:color="auto" w:fill="FFFFFF"/>
              </w:rPr>
              <w:t>22</w:t>
            </w:r>
            <w:r w:rsidRPr="00B0505E">
              <w:rPr>
                <w:rFonts w:eastAsia="Calibri" w:cs="Times New Roman"/>
                <w:sz w:val="24"/>
                <w:szCs w:val="24"/>
              </w:rPr>
              <w:t xml:space="preserve">. Заявление о применении преференциальной поправки (в соответствии с разделом </w:t>
            </w:r>
            <w:r w:rsidRPr="00B0505E">
              <w:rPr>
                <w:rFonts w:eastAsia="Calibri" w:cs="Times New Roman"/>
                <w:sz w:val="24"/>
                <w:szCs w:val="24"/>
                <w:lang w:val="en-US"/>
              </w:rPr>
              <w:t>IX</w:t>
            </w:r>
            <w:r w:rsidRPr="00B0505E">
              <w:rPr>
                <w:rFonts w:eastAsia="Calibri" w:cs="Times New Roman"/>
                <w:sz w:val="24"/>
                <w:szCs w:val="24"/>
              </w:rPr>
              <w:t xml:space="preserve"> документации процедуры государственной закупки).</w:t>
            </w:r>
          </w:p>
          <w:p w:rsidR="00B0505E" w:rsidRPr="00B0505E" w:rsidRDefault="00B0505E" w:rsidP="00B0505E">
            <w:pPr>
              <w:spacing w:after="0" w:line="274" w:lineRule="auto"/>
              <w:ind w:firstLine="246"/>
              <w:jc w:val="both"/>
              <w:rPr>
                <w:rFonts w:eastAsia="Calibri" w:cs="Times New Roman"/>
                <w:sz w:val="21"/>
              </w:rPr>
            </w:pPr>
            <w:r w:rsidRPr="00B0505E">
              <w:rPr>
                <w:rFonts w:eastAsia="Calibri" w:cs="Times New Roman"/>
                <w:sz w:val="24"/>
              </w:rPr>
              <w:t>Соответствие требованиям, указанным в п. 4 – 16, подтверждается заявлением участника по форме, установленной регламентом оператора электронной торговой площадки.</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В случаях, установленных законодательными актами, допускается совместное участие в процедуре государственной закупки юридических и (или) физических лиц, в том числе индивидуальных предпринимателей при соблюдении условий, установленных пунктом 4 ст. 16 Закона «О государственных закупках товаров (работ, услуг)». Соответствие требованиям, </w:t>
            </w:r>
            <w:r w:rsidRPr="00B0505E">
              <w:rPr>
                <w:rFonts w:eastAsia="Calibri" w:cs="Times New Roman"/>
                <w:i/>
                <w:iCs/>
                <w:sz w:val="24"/>
              </w:rPr>
              <w:lastRenderedPageBreak/>
              <w:t xml:space="preserve">указанным в п.10 – 16 подтверждается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 а также в случае совместного участия в процедуре государственной закупки участников холдинга. </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 В случае совместного участия в процедуре государственной закупки юридических и (или) физических лиц, в том числе индивидуальных предпринимателей, соответствие дополнительным требованиям, указанным в приложении 1-1 к постановлению N 395, если они установлены документацией на закупку, должно быть подтверждено: </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в отношении хотя бы одного из юридических и (или) физических лиц, в том числе индивидуальных предпринимателей, совместно участвующих в процедуре государственной закупки; </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 либо совокупно по всем юридическим и (или) физическим лицам, в том числе индивидуальным предпринимателям, совместно участвующим в процедуре государственной закупки. </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rPr>
              <w:t xml:space="preserve"> </w:t>
            </w:r>
            <w:r w:rsidRPr="00B0505E">
              <w:rPr>
                <w:rFonts w:eastAsia="Calibri" w:cs="Times New Roman"/>
                <w:i/>
                <w:iCs/>
                <w:sz w:val="24"/>
              </w:rPr>
              <w:t>При совместном участии в процедуре государственной закупки участников холдинга оценка соответствия дополнительным требованиям, указанным в приложении 1-1 к постановлению № 395, если они установлены документацией на закупку, производится совокупно по всем участникам холдинга, совместно участвующим в процедуре государственной закупки.</w:t>
            </w:r>
          </w:p>
          <w:p w:rsidR="00933CAE" w:rsidRPr="00C4783D" w:rsidRDefault="00933CAE" w:rsidP="002054BC">
            <w:pPr>
              <w:spacing w:after="0" w:line="240" w:lineRule="auto"/>
              <w:ind w:firstLine="709"/>
              <w:jc w:val="both"/>
              <w:rPr>
                <w:rFonts w:eastAsia="Times New Roman" w:cs="Times New Roman"/>
                <w:i/>
                <w:iCs/>
                <w:sz w:val="24"/>
                <w:szCs w:val="24"/>
                <w:lang w:eastAsia="ru-RU"/>
              </w:rPr>
            </w:pPr>
          </w:p>
        </w:tc>
      </w:tr>
      <w:tr w:rsidR="00933CAE" w:rsidRPr="00933CAE" w:rsidTr="009E7EBC">
        <w:tc>
          <w:tcPr>
            <w:tcW w:w="4965" w:type="dxa"/>
            <w:shd w:val="clear" w:color="auto" w:fill="FFFFFF"/>
          </w:tcPr>
          <w:p w:rsidR="00933CAE" w:rsidRPr="00933CAE" w:rsidRDefault="009E7EBC" w:rsidP="00933CAE">
            <w:pPr>
              <w:spacing w:after="0" w:line="240" w:lineRule="auto"/>
              <w:rPr>
                <w:sz w:val="26"/>
                <w:szCs w:val="26"/>
              </w:rPr>
            </w:pPr>
            <w:r w:rsidRPr="009E7EBC">
              <w:rPr>
                <w:sz w:val="26"/>
                <w:szCs w:val="26"/>
              </w:rPr>
              <w:lastRenderedPageBreak/>
              <w:t>Требование о предоставлении обеспечения исполнения обязательств по договору</w:t>
            </w:r>
          </w:p>
        </w:tc>
        <w:tc>
          <w:tcPr>
            <w:tcW w:w="4811" w:type="dxa"/>
            <w:shd w:val="clear" w:color="auto" w:fill="FFFFFF"/>
          </w:tcPr>
          <w:p w:rsidR="00933CAE" w:rsidRPr="00933CAE" w:rsidRDefault="006B5E6A" w:rsidP="00E92D79">
            <w:pPr>
              <w:spacing w:after="0" w:line="240" w:lineRule="auto"/>
              <w:jc w:val="center"/>
              <w:rPr>
                <w:sz w:val="26"/>
                <w:szCs w:val="26"/>
              </w:rPr>
            </w:pPr>
            <w:r>
              <w:rPr>
                <w:sz w:val="26"/>
                <w:szCs w:val="26"/>
              </w:rPr>
              <w:t>-</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4"/>
        </w:trPr>
        <w:tc>
          <w:tcPr>
            <w:tcW w:w="9776" w:type="dxa"/>
            <w:gridSpan w:val="2"/>
            <w:tcBorders>
              <w:top w:val="single" w:sz="4" w:space="0" w:color="auto"/>
              <w:left w:val="single" w:sz="4" w:space="0" w:color="auto"/>
              <w:right w:val="single" w:sz="4" w:space="0" w:color="auto"/>
            </w:tcBorders>
            <w:shd w:val="clear" w:color="auto" w:fill="FFFFFF"/>
            <w:vAlign w:val="bottom"/>
          </w:tcPr>
          <w:p w:rsidR="009E7EBC" w:rsidRDefault="009E7EBC" w:rsidP="009E7EBC">
            <w:pPr>
              <w:pStyle w:val="a7"/>
              <w:ind w:firstLine="0"/>
              <w:jc w:val="center"/>
              <w:rPr>
                <w:sz w:val="22"/>
                <w:szCs w:val="22"/>
              </w:rPr>
            </w:pPr>
            <w:r>
              <w:rPr>
                <w:b/>
                <w:bCs/>
                <w:color w:val="000000"/>
                <w:sz w:val="22"/>
                <w:szCs w:val="22"/>
              </w:rPr>
              <w:t>Сведения о предмете государственной закупки</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9E7EBC" w:rsidP="00E92D79">
            <w:pPr>
              <w:pStyle w:val="a7"/>
              <w:ind w:firstLine="240"/>
              <w:jc w:val="both"/>
              <w:rPr>
                <w:sz w:val="26"/>
                <w:szCs w:val="26"/>
              </w:rPr>
            </w:pPr>
            <w:r w:rsidRPr="009E7EBC">
              <w:rPr>
                <w:color w:val="000000"/>
                <w:sz w:val="26"/>
                <w:szCs w:val="26"/>
              </w:rPr>
              <w:t>Наименование товаров (работ, услуг)</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136161" w:rsidRDefault="008A29A1" w:rsidP="00E424B6">
            <w:pPr>
              <w:pStyle w:val="a7"/>
              <w:ind w:firstLine="0"/>
              <w:rPr>
                <w:sz w:val="26"/>
                <w:szCs w:val="26"/>
              </w:rPr>
            </w:pPr>
            <w:r w:rsidRPr="002C6263">
              <w:rPr>
                <w:sz w:val="20"/>
                <w:szCs w:val="20"/>
              </w:rPr>
              <w:t xml:space="preserve">Текущий </w:t>
            </w:r>
            <w:r w:rsidR="008348E2">
              <w:rPr>
                <w:sz w:val="20"/>
                <w:szCs w:val="20"/>
              </w:rPr>
              <w:t xml:space="preserve">ремонт </w:t>
            </w:r>
            <w:r w:rsidR="00130F32">
              <w:rPr>
                <w:sz w:val="20"/>
                <w:szCs w:val="20"/>
              </w:rPr>
              <w:t>казармы</w:t>
            </w:r>
            <w:r>
              <w:rPr>
                <w:sz w:val="20"/>
                <w:szCs w:val="20"/>
              </w:rPr>
              <w:t xml:space="preserve"> инв. № 1/</w:t>
            </w:r>
            <w:r w:rsidR="00130F32">
              <w:rPr>
                <w:sz w:val="20"/>
                <w:szCs w:val="20"/>
              </w:rPr>
              <w:t>238</w:t>
            </w:r>
            <w:r>
              <w:rPr>
                <w:sz w:val="20"/>
                <w:szCs w:val="20"/>
              </w:rPr>
              <w:t>, в.г. № 1 «Колосово</w:t>
            </w:r>
            <w:r w:rsidR="00E424B6">
              <w:rPr>
                <w:sz w:val="20"/>
                <w:szCs w:val="20"/>
              </w:rPr>
              <w:t>»</w:t>
            </w:r>
          </w:p>
        </w:tc>
      </w:tr>
      <w:tr w:rsidR="006D7A16"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6D7A16" w:rsidRPr="00E424B6" w:rsidRDefault="006D7A16" w:rsidP="006D7A16">
            <w:pPr>
              <w:pStyle w:val="a7"/>
              <w:ind w:firstLine="240"/>
              <w:jc w:val="both"/>
              <w:rPr>
                <w:sz w:val="26"/>
                <w:szCs w:val="26"/>
              </w:rPr>
            </w:pPr>
            <w:r w:rsidRPr="00E424B6">
              <w:rPr>
                <w:sz w:val="26"/>
                <w:szCs w:val="26"/>
              </w:rPr>
              <w:t xml:space="preserve">Код (или несколько кодов) по ОКРБ 007-2012 </w:t>
            </w:r>
            <w:r w:rsidRPr="00E424B6">
              <w:rPr>
                <w:sz w:val="26"/>
                <w:szCs w:val="26"/>
                <w:u w:val="single"/>
              </w:rPr>
              <w:t>(подвид)</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E424B6" w:rsidRDefault="00E424B6" w:rsidP="00E424B6">
            <w:pPr>
              <w:autoSpaceDE w:val="0"/>
              <w:autoSpaceDN w:val="0"/>
              <w:adjustRightInd w:val="0"/>
              <w:spacing w:after="0" w:line="240" w:lineRule="auto"/>
              <w:rPr>
                <w:rFonts w:cs="Times New Roman"/>
                <w:sz w:val="20"/>
                <w:szCs w:val="20"/>
              </w:rPr>
            </w:pPr>
            <w:r>
              <w:rPr>
                <w:rFonts w:cs="Times New Roman"/>
                <w:sz w:val="20"/>
                <w:szCs w:val="20"/>
              </w:rPr>
              <w:t>41.00.40.900</w:t>
            </w:r>
          </w:p>
          <w:p w:rsidR="006D7A16" w:rsidRPr="00E424B6" w:rsidRDefault="006D7A16" w:rsidP="008A29A1">
            <w:pPr>
              <w:pStyle w:val="a7"/>
              <w:ind w:firstLine="0"/>
              <w:rPr>
                <w:color w:val="FF0000"/>
                <w:sz w:val="26"/>
                <w:szCs w:val="26"/>
              </w:rPr>
            </w:pPr>
          </w:p>
        </w:tc>
      </w:tr>
      <w:tr w:rsidR="006D7A16"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6D7A16" w:rsidRPr="00E424B6" w:rsidRDefault="006D7A16" w:rsidP="006D7A16">
            <w:pPr>
              <w:pStyle w:val="a7"/>
              <w:ind w:firstLine="240"/>
              <w:jc w:val="both"/>
              <w:rPr>
                <w:sz w:val="26"/>
                <w:szCs w:val="26"/>
              </w:rPr>
            </w:pPr>
            <w:r w:rsidRPr="00E424B6">
              <w:rPr>
                <w:sz w:val="26"/>
                <w:szCs w:val="26"/>
              </w:rPr>
              <w:t>Наименование в соответствии с ОКРБ 007-2012</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6D7A16" w:rsidRPr="00E424B6" w:rsidRDefault="00E424B6" w:rsidP="00E424B6">
            <w:pPr>
              <w:autoSpaceDE w:val="0"/>
              <w:autoSpaceDN w:val="0"/>
              <w:adjustRightInd w:val="0"/>
              <w:spacing w:after="0" w:line="240" w:lineRule="auto"/>
              <w:rPr>
                <w:rFonts w:cs="Times New Roman"/>
                <w:sz w:val="20"/>
                <w:szCs w:val="20"/>
              </w:rPr>
            </w:pPr>
            <w:r>
              <w:rPr>
                <w:rFonts w:cs="Times New Roman"/>
                <w:sz w:val="20"/>
                <w:szCs w:val="20"/>
              </w:rPr>
              <w:t>Работы общестроительные (работы по строительству новых объектов, возведению пристроек, реконструкции и ремонту зданий) по возведению прочих нежилых зданий (храмов, тюрем и т.п.)</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9E7EBC" w:rsidP="00E92D79">
            <w:pPr>
              <w:pStyle w:val="a7"/>
              <w:ind w:firstLine="240"/>
              <w:jc w:val="both"/>
              <w:rPr>
                <w:sz w:val="26"/>
                <w:szCs w:val="26"/>
              </w:rPr>
            </w:pPr>
            <w:r w:rsidRPr="009E7EBC">
              <w:rPr>
                <w:color w:val="000000"/>
                <w:sz w:val="26"/>
                <w:szCs w:val="26"/>
              </w:rPr>
              <w:lastRenderedPageBreak/>
              <w:t>Объем (количество)</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ED6E51" w:rsidRDefault="00136161" w:rsidP="009E7EBC">
            <w:pPr>
              <w:pStyle w:val="a7"/>
              <w:ind w:firstLine="260"/>
              <w:rPr>
                <w:sz w:val="26"/>
                <w:szCs w:val="26"/>
              </w:rPr>
            </w:pPr>
            <w:r>
              <w:rPr>
                <w:b/>
                <w:bCs/>
                <w:color w:val="000000"/>
                <w:sz w:val="26"/>
                <w:szCs w:val="26"/>
              </w:rPr>
              <w:t xml:space="preserve">1 </w:t>
            </w:r>
            <w:r w:rsidR="009E7EBC" w:rsidRPr="009E7EBC">
              <w:rPr>
                <w:b/>
                <w:bCs/>
                <w:color w:val="000000"/>
                <w:sz w:val="26"/>
                <w:szCs w:val="26"/>
              </w:rPr>
              <w:t>объект</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Default="009E7EBC" w:rsidP="00E92D79">
            <w:pPr>
              <w:pStyle w:val="a7"/>
              <w:ind w:firstLine="240"/>
              <w:jc w:val="both"/>
              <w:rPr>
                <w:color w:val="000000"/>
                <w:sz w:val="26"/>
                <w:szCs w:val="26"/>
              </w:rPr>
            </w:pPr>
            <w:r w:rsidRPr="009E7EBC">
              <w:rPr>
                <w:color w:val="000000"/>
                <w:sz w:val="26"/>
                <w:szCs w:val="26"/>
              </w:rPr>
              <w:t>Срок (сроки) поставки товаров (выполнения работ, оказания услуг)</w:t>
            </w:r>
          </w:p>
          <w:p w:rsidR="002362EE" w:rsidRPr="009E7EBC" w:rsidRDefault="002362EE" w:rsidP="00E92D79">
            <w:pPr>
              <w:pStyle w:val="a7"/>
              <w:ind w:firstLine="240"/>
              <w:jc w:val="both"/>
              <w:rPr>
                <w:sz w:val="26"/>
                <w:szCs w:val="26"/>
              </w:rPr>
            </w:pP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6B5E6A" w:rsidP="00AD121B">
            <w:pPr>
              <w:pStyle w:val="a7"/>
              <w:ind w:firstLine="0"/>
              <w:rPr>
                <w:sz w:val="26"/>
                <w:szCs w:val="26"/>
              </w:rPr>
            </w:pPr>
            <w:r>
              <w:rPr>
                <w:color w:val="000000"/>
                <w:sz w:val="26"/>
                <w:szCs w:val="26"/>
              </w:rPr>
              <w:t xml:space="preserve">до </w:t>
            </w:r>
            <w:r w:rsidR="00AD121B">
              <w:rPr>
                <w:color w:val="000000"/>
                <w:sz w:val="26"/>
                <w:szCs w:val="26"/>
              </w:rPr>
              <w:t>3</w:t>
            </w:r>
            <w:r w:rsidR="0095694E">
              <w:rPr>
                <w:color w:val="000000"/>
                <w:sz w:val="26"/>
                <w:szCs w:val="26"/>
              </w:rPr>
              <w:t>0</w:t>
            </w:r>
            <w:r w:rsidR="00BC7F1D">
              <w:rPr>
                <w:color w:val="000000"/>
                <w:sz w:val="26"/>
                <w:szCs w:val="26"/>
              </w:rPr>
              <w:t xml:space="preserve"> </w:t>
            </w:r>
            <w:r w:rsidR="00130F32">
              <w:rPr>
                <w:color w:val="000000"/>
                <w:sz w:val="26"/>
                <w:szCs w:val="26"/>
              </w:rPr>
              <w:t>октября</w:t>
            </w:r>
            <w:r w:rsidR="00BC7F1D">
              <w:rPr>
                <w:color w:val="000000"/>
                <w:sz w:val="26"/>
                <w:szCs w:val="26"/>
              </w:rPr>
              <w:t xml:space="preserve"> </w:t>
            </w:r>
            <w:r w:rsidR="009E7EBC" w:rsidRPr="0045204D">
              <w:rPr>
                <w:color w:val="000000"/>
                <w:sz w:val="26"/>
                <w:szCs w:val="26"/>
              </w:rPr>
              <w:t>202</w:t>
            </w:r>
            <w:r w:rsidR="00033850">
              <w:rPr>
                <w:color w:val="000000"/>
                <w:sz w:val="26"/>
                <w:szCs w:val="26"/>
              </w:rPr>
              <w:t>6</w:t>
            </w:r>
            <w:r w:rsidR="009E7EBC" w:rsidRPr="0045204D">
              <w:rPr>
                <w:color w:val="000000"/>
                <w:sz w:val="26"/>
                <w:szCs w:val="26"/>
              </w:rPr>
              <w:t xml:space="preserve"> г.</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9E7EBC" w:rsidP="00E92D79">
            <w:pPr>
              <w:pStyle w:val="a7"/>
              <w:ind w:firstLine="240"/>
              <w:jc w:val="both"/>
              <w:rPr>
                <w:sz w:val="26"/>
                <w:szCs w:val="26"/>
              </w:rPr>
            </w:pPr>
            <w:r w:rsidRPr="009E7EBC">
              <w:rPr>
                <w:color w:val="000000"/>
                <w:sz w:val="26"/>
                <w:szCs w:val="26"/>
              </w:rPr>
              <w:t>Место (места) поставки товаров (выполнения работ, оказания услуг)</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ED6E51" w:rsidRPr="00ED6E51" w:rsidRDefault="00ED6E51" w:rsidP="002B051F">
            <w:pPr>
              <w:pStyle w:val="a7"/>
              <w:ind w:firstLine="0"/>
              <w:rPr>
                <w:color w:val="000000"/>
                <w:sz w:val="26"/>
                <w:szCs w:val="26"/>
              </w:rPr>
            </w:pPr>
            <w:r>
              <w:rPr>
                <w:color w:val="000000"/>
                <w:sz w:val="26"/>
                <w:szCs w:val="26"/>
              </w:rPr>
              <w:t xml:space="preserve">Войсковая часть 25819.Минская обл. </w:t>
            </w:r>
            <w:r w:rsidR="008A29A1">
              <w:rPr>
                <w:color w:val="000000"/>
                <w:sz w:val="26"/>
                <w:szCs w:val="26"/>
              </w:rPr>
              <w:t>Столбцовский р-он</w:t>
            </w:r>
            <w:r>
              <w:rPr>
                <w:color w:val="000000"/>
                <w:sz w:val="26"/>
                <w:szCs w:val="26"/>
              </w:rPr>
              <w:t xml:space="preserve">, пос. </w:t>
            </w:r>
            <w:r w:rsidR="008A29A1">
              <w:rPr>
                <w:color w:val="000000"/>
                <w:sz w:val="26"/>
                <w:szCs w:val="26"/>
              </w:rPr>
              <w:t>Новоколосово</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B0505E" w:rsidP="00E92D79">
            <w:pPr>
              <w:pStyle w:val="a7"/>
              <w:tabs>
                <w:tab w:val="left" w:pos="2443"/>
                <w:tab w:val="left" w:pos="3946"/>
              </w:tabs>
              <w:ind w:firstLine="240"/>
              <w:jc w:val="both"/>
              <w:rPr>
                <w:sz w:val="26"/>
                <w:szCs w:val="26"/>
              </w:rPr>
            </w:pPr>
            <w:r>
              <w:rPr>
                <w:color w:val="000000"/>
                <w:sz w:val="26"/>
                <w:szCs w:val="26"/>
              </w:rPr>
              <w:t>Предельная</w:t>
            </w:r>
            <w:r w:rsidR="009E7EBC" w:rsidRPr="009E7EBC">
              <w:rPr>
                <w:color w:val="000000"/>
                <w:sz w:val="26"/>
                <w:szCs w:val="26"/>
              </w:rPr>
              <w:tab/>
              <w:t>стоимость</w:t>
            </w:r>
            <w:r>
              <w:rPr>
                <w:color w:val="000000"/>
                <w:sz w:val="26"/>
                <w:szCs w:val="26"/>
              </w:rPr>
              <w:t xml:space="preserve"> </w:t>
            </w:r>
            <w:r w:rsidR="009E7EBC" w:rsidRPr="009E7EBC">
              <w:rPr>
                <w:color w:val="000000"/>
                <w:sz w:val="26"/>
                <w:szCs w:val="26"/>
              </w:rPr>
              <w:t>предмета</w:t>
            </w:r>
          </w:p>
          <w:p w:rsidR="009E7EBC" w:rsidRPr="009E7EBC" w:rsidRDefault="009E7EBC" w:rsidP="00E92D79">
            <w:pPr>
              <w:pStyle w:val="a7"/>
              <w:ind w:firstLine="0"/>
              <w:jc w:val="both"/>
              <w:rPr>
                <w:sz w:val="26"/>
                <w:szCs w:val="26"/>
              </w:rPr>
            </w:pPr>
            <w:r w:rsidRPr="009E7EBC">
              <w:rPr>
                <w:color w:val="000000"/>
                <w:sz w:val="26"/>
                <w:szCs w:val="26"/>
              </w:rPr>
              <w:t>государственной закупки по части (лоту)</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130F32" w:rsidP="00AD121B">
            <w:pPr>
              <w:pStyle w:val="a7"/>
              <w:ind w:firstLine="0"/>
              <w:rPr>
                <w:sz w:val="26"/>
                <w:szCs w:val="26"/>
              </w:rPr>
            </w:pPr>
            <w:r>
              <w:rPr>
                <w:color w:val="000000"/>
                <w:sz w:val="26"/>
                <w:szCs w:val="26"/>
              </w:rPr>
              <w:t>242 990,99</w:t>
            </w:r>
            <w:r w:rsidR="00EE37F1">
              <w:rPr>
                <w:color w:val="000000"/>
                <w:sz w:val="26"/>
                <w:szCs w:val="26"/>
              </w:rPr>
              <w:t xml:space="preserve"> белорусских рублей </w:t>
            </w:r>
            <w:r w:rsidR="00EE37F1" w:rsidRPr="00EE37F1">
              <w:rPr>
                <w:color w:val="000000"/>
                <w:sz w:val="26"/>
                <w:szCs w:val="26"/>
              </w:rPr>
              <w:t>.</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Default="009E7EBC" w:rsidP="00E92D79">
            <w:pPr>
              <w:pStyle w:val="a7"/>
              <w:ind w:firstLine="240"/>
              <w:jc w:val="both"/>
              <w:rPr>
                <w:color w:val="000000"/>
                <w:sz w:val="26"/>
                <w:szCs w:val="26"/>
              </w:rPr>
            </w:pPr>
            <w:r w:rsidRPr="009E7EBC">
              <w:rPr>
                <w:color w:val="000000"/>
                <w:sz w:val="26"/>
                <w:szCs w:val="26"/>
              </w:rPr>
              <w:t>Источник финансирования государственной закупки (лоту)</w:t>
            </w:r>
          </w:p>
          <w:p w:rsidR="00BF35FA" w:rsidRPr="009E7EBC" w:rsidRDefault="00BF35FA" w:rsidP="00E92D79">
            <w:pPr>
              <w:pStyle w:val="a7"/>
              <w:ind w:firstLine="240"/>
              <w:jc w:val="both"/>
              <w:rPr>
                <w:sz w:val="26"/>
                <w:szCs w:val="26"/>
              </w:rPr>
            </w:pP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B0505E" w:rsidP="002B051F">
            <w:pPr>
              <w:pStyle w:val="a7"/>
              <w:ind w:firstLine="0"/>
              <w:rPr>
                <w:sz w:val="26"/>
                <w:szCs w:val="26"/>
              </w:rPr>
            </w:pPr>
            <w:r w:rsidRPr="0083701D">
              <w:rPr>
                <w:sz w:val="24"/>
                <w:szCs w:val="24"/>
              </w:rPr>
              <w:t>Республиканский бюджет через органы государственного казначейства</w:t>
            </w:r>
          </w:p>
        </w:tc>
      </w:tr>
    </w:tbl>
    <w:p w:rsidR="002201E2" w:rsidRDefault="009E7EBC" w:rsidP="002201E2">
      <w:pPr>
        <w:pStyle w:val="newncpi"/>
        <w:numPr>
          <w:ilvl w:val="0"/>
          <w:numId w:val="2"/>
        </w:numPr>
        <w:rPr>
          <w:rFonts w:eastAsia="Times New Roman"/>
          <w:color w:val="000000"/>
          <w:sz w:val="30"/>
          <w:szCs w:val="30"/>
          <w:lang w:eastAsia="en-US"/>
        </w:rPr>
      </w:pPr>
      <w:bookmarkStart w:id="3" w:name="bookmark10"/>
      <w:bookmarkStart w:id="4" w:name="bookmark11"/>
      <w:bookmarkStart w:id="5" w:name="bookmark13"/>
      <w:r w:rsidRPr="002201E2">
        <w:rPr>
          <w:b/>
          <w:bCs/>
          <w:color w:val="000000"/>
          <w:sz w:val="30"/>
          <w:szCs w:val="30"/>
        </w:rPr>
        <w:t>Описание предмета государственной закупки</w:t>
      </w:r>
      <w:bookmarkEnd w:id="3"/>
      <w:bookmarkEnd w:id="4"/>
      <w:bookmarkEnd w:id="5"/>
    </w:p>
    <w:p w:rsidR="00B0505E" w:rsidRDefault="00BF35FA" w:rsidP="00B0505E">
      <w:pPr>
        <w:pStyle w:val="ConsPlusNonformat"/>
        <w:ind w:firstLine="709"/>
        <w:jc w:val="both"/>
        <w:rPr>
          <w:rFonts w:ascii="Times New Roman" w:hAnsi="Times New Roman" w:cs="Times New Roman"/>
          <w:color w:val="000000"/>
          <w:sz w:val="30"/>
          <w:szCs w:val="30"/>
          <w:lang w:eastAsia="en-US"/>
        </w:rPr>
      </w:pPr>
      <w:r w:rsidRPr="00B0505E">
        <w:rPr>
          <w:rFonts w:ascii="Times New Roman" w:hAnsi="Times New Roman" w:cs="Times New Roman"/>
          <w:color w:val="000000"/>
          <w:sz w:val="30"/>
          <w:szCs w:val="30"/>
          <w:lang w:eastAsia="en-US"/>
        </w:rPr>
        <w:t xml:space="preserve">Необходимо выполнить работы по текущему ремонту </w:t>
      </w:r>
      <w:r w:rsidR="00130F32">
        <w:rPr>
          <w:rFonts w:ascii="Times New Roman" w:hAnsi="Times New Roman" w:cs="Times New Roman"/>
          <w:color w:val="000000"/>
          <w:sz w:val="30"/>
          <w:szCs w:val="30"/>
          <w:lang w:eastAsia="en-US"/>
        </w:rPr>
        <w:t>казармы</w:t>
      </w:r>
      <w:r w:rsidRPr="00B0505E">
        <w:rPr>
          <w:rFonts w:ascii="Times New Roman" w:hAnsi="Times New Roman" w:cs="Times New Roman"/>
          <w:color w:val="000000"/>
          <w:sz w:val="30"/>
          <w:szCs w:val="30"/>
          <w:lang w:eastAsia="en-US"/>
        </w:rPr>
        <w:t xml:space="preserve"> инв. </w:t>
      </w:r>
      <w:r w:rsidRPr="00B0505E">
        <w:rPr>
          <w:rFonts w:ascii="Times New Roman" w:hAnsi="Times New Roman" w:cs="Times New Roman"/>
          <w:color w:val="000000"/>
          <w:sz w:val="30"/>
          <w:szCs w:val="30"/>
          <w:lang w:eastAsia="en-US"/>
        </w:rPr>
        <w:br/>
        <w:t>№ 1/</w:t>
      </w:r>
      <w:r w:rsidR="00130F32">
        <w:rPr>
          <w:rFonts w:ascii="Times New Roman" w:hAnsi="Times New Roman" w:cs="Times New Roman"/>
          <w:color w:val="000000"/>
          <w:sz w:val="30"/>
          <w:szCs w:val="30"/>
          <w:lang w:eastAsia="en-US"/>
        </w:rPr>
        <w:t>238</w:t>
      </w:r>
      <w:bookmarkStart w:id="6" w:name="_GoBack"/>
      <w:bookmarkEnd w:id="6"/>
      <w:r w:rsidRPr="00B0505E">
        <w:rPr>
          <w:rFonts w:ascii="Times New Roman" w:hAnsi="Times New Roman" w:cs="Times New Roman"/>
          <w:color w:val="000000"/>
          <w:sz w:val="30"/>
          <w:szCs w:val="30"/>
          <w:lang w:eastAsia="en-US"/>
        </w:rPr>
        <w:t xml:space="preserve"> в.г. № 1 «Колосово» на основании дефектного акта и смет</w:t>
      </w:r>
      <w:r w:rsidR="00E436E5">
        <w:rPr>
          <w:rFonts w:ascii="Times New Roman" w:hAnsi="Times New Roman" w:cs="Times New Roman"/>
          <w:color w:val="000000"/>
          <w:sz w:val="30"/>
          <w:szCs w:val="30"/>
          <w:lang w:eastAsia="en-US"/>
        </w:rPr>
        <w:t>ы</w:t>
      </w:r>
      <w:r w:rsidRPr="00B0505E">
        <w:rPr>
          <w:rFonts w:ascii="Times New Roman" w:hAnsi="Times New Roman" w:cs="Times New Roman"/>
          <w:color w:val="000000"/>
          <w:sz w:val="30"/>
          <w:szCs w:val="30"/>
          <w:lang w:eastAsia="en-US"/>
        </w:rPr>
        <w:t xml:space="preserve"> (Приложение № 1, 2)</w:t>
      </w:r>
      <w:r w:rsidR="00B0505E">
        <w:rPr>
          <w:rFonts w:ascii="Times New Roman" w:hAnsi="Times New Roman" w:cs="Times New Roman"/>
          <w:color w:val="000000"/>
          <w:sz w:val="30"/>
          <w:szCs w:val="30"/>
          <w:lang w:eastAsia="en-US"/>
        </w:rPr>
        <w:t xml:space="preserve"> со следующими условиями:</w:t>
      </w:r>
    </w:p>
    <w:p w:rsidR="00B0505E" w:rsidRPr="00B0505E" w:rsidRDefault="00B0505E" w:rsidP="00B0505E">
      <w:pPr>
        <w:pStyle w:val="ConsPlusNonformat"/>
        <w:ind w:firstLine="709"/>
        <w:jc w:val="both"/>
        <w:rPr>
          <w:rFonts w:ascii="Times New Roman" w:hAnsi="Times New Roman" w:cs="Times New Roman"/>
          <w:szCs w:val="30"/>
        </w:rPr>
      </w:pPr>
      <w:r>
        <w:rPr>
          <w:rFonts w:ascii="Times New Roman" w:hAnsi="Times New Roman" w:cs="Times New Roman"/>
          <w:sz w:val="30"/>
          <w:szCs w:val="30"/>
        </w:rPr>
        <w:t>н</w:t>
      </w:r>
      <w:r w:rsidRPr="00A91C77">
        <w:rPr>
          <w:rFonts w:ascii="Times New Roman" w:hAnsi="Times New Roman" w:cs="Times New Roman"/>
          <w:sz w:val="30"/>
          <w:szCs w:val="30"/>
        </w:rPr>
        <w:t>адлеж</w:t>
      </w:r>
      <w:r>
        <w:rPr>
          <w:rFonts w:ascii="Times New Roman" w:hAnsi="Times New Roman" w:cs="Times New Roman"/>
          <w:sz w:val="30"/>
          <w:szCs w:val="30"/>
        </w:rPr>
        <w:t>ащее качество выполнения работ;</w:t>
      </w:r>
    </w:p>
    <w:p w:rsidR="00B0505E" w:rsidRPr="00B0505E" w:rsidRDefault="00B0505E" w:rsidP="00B0505E">
      <w:pPr>
        <w:pStyle w:val="ConsPlusNonformat"/>
        <w:ind w:firstLine="709"/>
        <w:jc w:val="both"/>
        <w:rPr>
          <w:rFonts w:ascii="Times New Roman" w:hAnsi="Times New Roman" w:cs="Times New Roman"/>
          <w:sz w:val="30"/>
          <w:szCs w:val="30"/>
        </w:rPr>
      </w:pPr>
      <w:r w:rsidRPr="00B0505E">
        <w:rPr>
          <w:rFonts w:ascii="Times New Roman" w:hAnsi="Times New Roman" w:cs="Times New Roman"/>
          <w:sz w:val="30"/>
          <w:szCs w:val="30"/>
        </w:rPr>
        <w:t xml:space="preserve">гарантия не менее 5 лет; </w:t>
      </w:r>
    </w:p>
    <w:p w:rsidR="00B0505E" w:rsidRPr="00B0505E" w:rsidRDefault="00B0505E" w:rsidP="00B0505E">
      <w:pPr>
        <w:pStyle w:val="newncpi"/>
        <w:ind w:firstLine="709"/>
        <w:rPr>
          <w:sz w:val="30"/>
          <w:szCs w:val="30"/>
        </w:rPr>
      </w:pPr>
      <w:r w:rsidRPr="00B0505E">
        <w:rPr>
          <w:sz w:val="30"/>
          <w:szCs w:val="30"/>
        </w:rPr>
        <w:t>вывоз строительного мусора за счет подрядной организацией. Подрядчик возвращает на счет ГУ «</w:t>
      </w:r>
      <w:r>
        <w:rPr>
          <w:sz w:val="30"/>
          <w:szCs w:val="30"/>
        </w:rPr>
        <w:t>Барановичское</w:t>
      </w:r>
      <w:r w:rsidRPr="00B0505E">
        <w:rPr>
          <w:sz w:val="30"/>
          <w:szCs w:val="30"/>
        </w:rPr>
        <w:t xml:space="preserve"> ЭУ ВС» сумму денежных средств, которая составляет объем затраченных для выполнения работ коммунальных ресурсов Заказчика путем составления и предоставления Заказчику акта формы С-4. Оплата последнего акта выполненных работ осуществляется после полной оплаты Подрядчиком всех затраченных при выполнении работ коммунальных ресурсов.</w:t>
      </w:r>
    </w:p>
    <w:p w:rsidR="00C4783D" w:rsidRDefault="00C4783D" w:rsidP="00B0505E">
      <w:pPr>
        <w:pStyle w:val="newncpi"/>
        <w:rPr>
          <w:rFonts w:eastAsia="Times New Roman"/>
          <w:color w:val="000000"/>
          <w:sz w:val="30"/>
          <w:szCs w:val="30"/>
          <w:lang w:eastAsia="en-US"/>
        </w:rPr>
      </w:pPr>
      <w:r w:rsidRPr="00C4783D">
        <w:rPr>
          <w:rFonts w:eastAsia="Times New Roman"/>
          <w:b/>
          <w:bCs/>
          <w:color w:val="000000"/>
          <w:sz w:val="30"/>
          <w:szCs w:val="30"/>
          <w:lang w:eastAsia="en-US"/>
        </w:rPr>
        <w:t>III. 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открытом конкурсе:</w:t>
      </w:r>
      <w:r w:rsidRPr="00C4783D">
        <w:rPr>
          <w:rFonts w:eastAsia="Times New Roman"/>
          <w:color w:val="000000"/>
          <w:sz w:val="30"/>
          <w:szCs w:val="30"/>
          <w:lang w:eastAsia="en-US"/>
        </w:rPr>
        <w:t xml:space="preserve"> </w:t>
      </w:r>
      <w:r w:rsidR="00B0505E">
        <w:rPr>
          <w:rFonts w:eastAsia="Times New Roman"/>
          <w:color w:val="000000"/>
          <w:sz w:val="30"/>
          <w:szCs w:val="30"/>
          <w:lang w:eastAsia="en-US"/>
        </w:rPr>
        <w:t>в</w:t>
      </w:r>
      <w:r w:rsidR="00B0505E" w:rsidRPr="00B0505E">
        <w:rPr>
          <w:rFonts w:eastAsia="Times New Roman"/>
          <w:color w:val="000000"/>
          <w:sz w:val="30"/>
          <w:szCs w:val="30"/>
          <w:lang w:eastAsia="en-US"/>
        </w:rPr>
        <w:t xml:space="preserve"> соответствии с </w:t>
      </w:r>
      <w:r w:rsidR="007900A4">
        <w:rPr>
          <w:rFonts w:eastAsia="Times New Roman"/>
          <w:color w:val="000000"/>
          <w:sz w:val="30"/>
          <w:szCs w:val="30"/>
          <w:lang w:eastAsia="en-US"/>
        </w:rPr>
        <w:t>п</w:t>
      </w:r>
      <w:r w:rsidR="00B0505E" w:rsidRPr="00B0505E">
        <w:rPr>
          <w:rFonts w:eastAsia="Times New Roman"/>
          <w:color w:val="000000"/>
          <w:sz w:val="30"/>
          <w:szCs w:val="30"/>
          <w:lang w:eastAsia="en-US"/>
        </w:rPr>
        <w:t>остановлением Совета Министров Республики Беларусь от 17 марта 2016 г. № 206 «О допуске товаров иностранного происхождения и поставщиков, предла</w:t>
      </w:r>
      <w:r w:rsidR="00B0505E">
        <w:rPr>
          <w:rFonts w:eastAsia="Times New Roman"/>
          <w:color w:val="000000"/>
          <w:sz w:val="30"/>
          <w:szCs w:val="30"/>
          <w:lang w:eastAsia="en-US"/>
        </w:rPr>
        <w:t xml:space="preserve">гающих такие товары, к участию </w:t>
      </w:r>
      <w:r w:rsidR="00B0505E" w:rsidRPr="00B0505E">
        <w:rPr>
          <w:rFonts w:eastAsia="Times New Roman"/>
          <w:color w:val="000000"/>
          <w:sz w:val="30"/>
          <w:szCs w:val="30"/>
          <w:lang w:eastAsia="en-US"/>
        </w:rPr>
        <w:t>в процедурах государственных закупок».</w:t>
      </w:r>
    </w:p>
    <w:p w:rsidR="0016542D" w:rsidRDefault="009E7EBC" w:rsidP="00B0505E">
      <w:pPr>
        <w:pStyle w:val="newncpi"/>
        <w:numPr>
          <w:ilvl w:val="0"/>
          <w:numId w:val="3"/>
        </w:numPr>
        <w:ind w:firstLine="567"/>
        <w:rPr>
          <w:sz w:val="30"/>
          <w:szCs w:val="30"/>
        </w:rPr>
      </w:pPr>
      <w:r w:rsidRPr="002B051F">
        <w:rPr>
          <w:b/>
          <w:bCs/>
          <w:sz w:val="30"/>
          <w:szCs w:val="30"/>
        </w:rPr>
        <w:t>Порядок формирования цены предложения</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Расчет договорной цены на выполнение строительно-монтажных работ производится на основании Приложений № 1-2 путем составления локальной сметы.</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Участник должен указать цены на все элементы Работ, чтобы полная цена предложения включала стоимость всех оговоренных обязательств участника и завершения Работ Участником в соответствии с требованиями организатора процедуры открытого конкурса, включая все возможные расходы за транспортировку, доставку, гарантии и т.д. Цены также включают все налоги и сборы.</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 xml:space="preserve">Форма расчета цены должна соответствовать форме расчета договорной цены, подготовленной организатором процедуры открытого </w:t>
      </w:r>
      <w:r w:rsidRPr="00E0568F">
        <w:rPr>
          <w:rFonts w:eastAsiaTheme="minorEastAsia" w:cs="Times New Roman"/>
          <w:szCs w:val="30"/>
          <w:lang w:eastAsia="ru-RU"/>
        </w:rPr>
        <w:lastRenderedPageBreak/>
        <w:t>конкурса и должна определяться на дату начала строительства объекта (выполнения строительных, специальны</w:t>
      </w:r>
      <w:r>
        <w:rPr>
          <w:rFonts w:eastAsiaTheme="minorEastAsia" w:cs="Times New Roman"/>
          <w:szCs w:val="30"/>
          <w:lang w:eastAsia="ru-RU"/>
        </w:rPr>
        <w:t xml:space="preserve">х, монтажных работ), указанную </w:t>
      </w:r>
      <w:r w:rsidRPr="00E0568F">
        <w:rPr>
          <w:rFonts w:eastAsiaTheme="minorEastAsia" w:cs="Times New Roman"/>
          <w:szCs w:val="30"/>
          <w:lang w:eastAsia="ru-RU"/>
        </w:rPr>
        <w:t>в документации для открытого конкурса, с применением прогнозных индексов цен в строительстве, утверждаемых Министерством экономики, с учетом нормативной продолжительности строительства, налогов и отчислений согласно законодательству.</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 xml:space="preserve">Все цены на строительно-монтажные работы должны быть фиксированными и выражены в белорусских рублях. Если представляемое Участником предложение содержит нефиксированные цены, такое предложение будет определено, как </w:t>
      </w:r>
      <w:r>
        <w:rPr>
          <w:rFonts w:eastAsiaTheme="minorEastAsia" w:cs="Times New Roman"/>
          <w:szCs w:val="30"/>
          <w:lang w:eastAsia="ru-RU"/>
        </w:rPr>
        <w:t xml:space="preserve">не соответствующее требованиям </w:t>
      </w:r>
      <w:r w:rsidRPr="00E0568F">
        <w:rPr>
          <w:rFonts w:eastAsiaTheme="minorEastAsia" w:cs="Times New Roman"/>
          <w:szCs w:val="30"/>
          <w:lang w:eastAsia="ru-RU"/>
        </w:rPr>
        <w:t>и будет отклонено.</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Цена подрядных работ (строи</w:t>
      </w:r>
      <w:r>
        <w:rPr>
          <w:rFonts w:eastAsiaTheme="minorEastAsia" w:cs="Times New Roman"/>
          <w:szCs w:val="30"/>
          <w:lang w:eastAsia="ru-RU"/>
        </w:rPr>
        <w:t xml:space="preserve">тельства объекта) определяется </w:t>
      </w:r>
      <w:r w:rsidRPr="00E0568F">
        <w:rPr>
          <w:rFonts w:eastAsiaTheme="minorEastAsia" w:cs="Times New Roman"/>
          <w:szCs w:val="30"/>
          <w:lang w:eastAsia="ru-RU"/>
        </w:rPr>
        <w:t>на основании цены предложения Подрядчика, выбранной Заказчиком.</w:t>
      </w:r>
    </w:p>
    <w:p w:rsid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При снижении стоимости строительства в расчёте договорной цены претендент даёт расшифровку, за счёт каких затрат снижается стоимость.</w:t>
      </w:r>
    </w:p>
    <w:p w:rsidR="00C1021A" w:rsidRDefault="00C1021A" w:rsidP="00E0568F">
      <w:pPr>
        <w:spacing w:after="0" w:line="240" w:lineRule="auto"/>
        <w:ind w:firstLine="720"/>
        <w:jc w:val="both"/>
        <w:rPr>
          <w:rFonts w:eastAsiaTheme="minorEastAsia" w:cs="Times New Roman"/>
          <w:szCs w:val="30"/>
          <w:lang w:eastAsia="ru-RU"/>
        </w:rPr>
      </w:pPr>
    </w:p>
    <w:p w:rsidR="009E7EBC" w:rsidRDefault="009E7EBC" w:rsidP="00E0568F">
      <w:pPr>
        <w:pStyle w:val="aa"/>
        <w:numPr>
          <w:ilvl w:val="0"/>
          <w:numId w:val="3"/>
        </w:numPr>
        <w:spacing w:after="0" w:line="240" w:lineRule="auto"/>
        <w:ind w:firstLine="709"/>
        <w:jc w:val="both"/>
      </w:pPr>
      <w:r w:rsidRPr="00E0568F">
        <w:rPr>
          <w:b/>
          <w:bCs/>
          <w:szCs w:val="30"/>
        </w:rPr>
        <w:t>Наименование валюты</w:t>
      </w:r>
      <w:r w:rsidRPr="00E0568F">
        <w:rPr>
          <w:b/>
          <w:bCs/>
        </w:rPr>
        <w:t>,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r w:rsidR="00E92D79">
        <w:t>–</w:t>
      </w:r>
      <w:r>
        <w:t xml:space="preserve"> белорусские</w:t>
      </w:r>
      <w:r w:rsidR="00E0568F">
        <w:t xml:space="preserve"> </w:t>
      </w:r>
      <w:r>
        <w:t>рубли.</w:t>
      </w:r>
    </w:p>
    <w:p w:rsidR="00C1021A" w:rsidRDefault="00C1021A" w:rsidP="00C1021A">
      <w:pPr>
        <w:pStyle w:val="aa"/>
        <w:spacing w:after="0" w:line="240" w:lineRule="auto"/>
        <w:ind w:left="709"/>
        <w:jc w:val="both"/>
      </w:pPr>
    </w:p>
    <w:p w:rsidR="00922CF9" w:rsidRPr="00922CF9" w:rsidRDefault="00C4783D" w:rsidP="00C4783D">
      <w:pPr>
        <w:pStyle w:val="aa"/>
        <w:spacing w:after="0" w:line="240" w:lineRule="auto"/>
        <w:jc w:val="both"/>
        <w:rPr>
          <w:b/>
          <w:szCs w:val="30"/>
          <w:lang w:eastAsia="ru-RU"/>
        </w:rPr>
      </w:pPr>
      <w:bookmarkStart w:id="7" w:name="_Hlk138506767"/>
      <w:r w:rsidRPr="002B051F">
        <w:rPr>
          <w:b/>
          <w:bCs/>
          <w:szCs w:val="30"/>
        </w:rPr>
        <w:t>V</w:t>
      </w:r>
      <w:r>
        <w:rPr>
          <w:b/>
          <w:bCs/>
          <w:szCs w:val="30"/>
          <w:lang w:val="en-US"/>
        </w:rPr>
        <w:t>I</w:t>
      </w:r>
      <w:r w:rsidRPr="002B051F">
        <w:rPr>
          <w:b/>
          <w:bCs/>
          <w:szCs w:val="30"/>
        </w:rPr>
        <w:t>.</w:t>
      </w:r>
      <w:r w:rsidR="00922CF9" w:rsidRPr="00922CF9">
        <w:rPr>
          <w:b/>
          <w:szCs w:val="30"/>
          <w:lang w:eastAsia="ru-RU"/>
        </w:rPr>
        <w:t>Критерии, способ оценки и сравнения предложений</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xml:space="preserve">Оценка и сравнение предложений осуществляются комиссией </w:t>
      </w:r>
      <w:r w:rsidRPr="00B547C3">
        <w:rPr>
          <w:rFonts w:eastAsia="Times New Roman" w:cs="Times New Roman"/>
          <w:szCs w:val="30"/>
          <w:lang w:eastAsia="ru-RU"/>
        </w:rPr>
        <w:br/>
        <w:t xml:space="preserve">по государственным закупкам при наличии не менее двух участников, допущенных к оценке и сравнению предложений. </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xml:space="preserve">Критерии, способы оценки и сравнения предложений участников открытого конкурса установлены в соответствии с </w:t>
      </w:r>
      <w:r w:rsidR="007900A4">
        <w:rPr>
          <w:rFonts w:eastAsia="Times New Roman" w:cs="Times New Roman"/>
          <w:szCs w:val="30"/>
          <w:lang w:eastAsia="ru-RU"/>
        </w:rPr>
        <w:t>п</w:t>
      </w:r>
      <w:r w:rsidRPr="00B547C3">
        <w:rPr>
          <w:rFonts w:eastAsia="Times New Roman" w:cs="Times New Roman"/>
          <w:szCs w:val="30"/>
          <w:lang w:eastAsia="ru-RU"/>
        </w:rPr>
        <w:t xml:space="preserve">остановлением Совета Министров Республики Беларусь от 2 июля 2019 года № 449 </w:t>
      </w:r>
      <w:r w:rsidRPr="00B547C3">
        <w:rPr>
          <w:rFonts w:eastAsia="Times New Roman" w:cs="Times New Roman"/>
          <w:szCs w:val="30"/>
          <w:lang w:eastAsia="ru-RU"/>
        </w:rPr>
        <w:br/>
        <w:t xml:space="preserve">«Об установлении критериев, </w:t>
      </w:r>
      <w:r w:rsidR="0069795B" w:rsidRPr="00B547C3">
        <w:rPr>
          <w:rFonts w:eastAsia="Times New Roman" w:cs="Times New Roman"/>
          <w:szCs w:val="30"/>
          <w:lang w:eastAsia="ru-RU"/>
        </w:rPr>
        <w:t>способа оценки и сравнения предложений участников,</w:t>
      </w:r>
      <w:r w:rsidRPr="00B547C3">
        <w:rPr>
          <w:rFonts w:eastAsia="Times New Roman" w:cs="Times New Roman"/>
          <w:szCs w:val="30"/>
          <w:lang w:eastAsia="ru-RU"/>
        </w:rPr>
        <w:t xml:space="preserve"> открытого и закрытого конкурсов».</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Применяются следующие критерии оценки и сравнения предложений:</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стоимостная группа критериев оценки – цена предложения;</w:t>
      </w:r>
    </w:p>
    <w:p w:rsid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нестоимостная группа критериев оценки – сроки выполнения работ; общая цена договоров, соответствующих предмету государственной закупки, или аналогичных, исполненных участником за последние три года.</w:t>
      </w:r>
    </w:p>
    <w:p w:rsidR="00C1021A" w:rsidRPr="00B547C3" w:rsidRDefault="00C1021A" w:rsidP="00B547C3">
      <w:pPr>
        <w:spacing w:after="0" w:line="240" w:lineRule="auto"/>
        <w:ind w:firstLine="709"/>
        <w:jc w:val="both"/>
        <w:rPr>
          <w:rFonts w:eastAsia="Times New Roman" w:cs="Times New Roman"/>
          <w:szCs w:val="3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369"/>
        <w:gridCol w:w="1701"/>
        <w:gridCol w:w="3827"/>
      </w:tblGrid>
      <w:tr w:rsidR="00922CF9" w:rsidTr="00F853CA">
        <w:tc>
          <w:tcPr>
            <w:tcW w:w="567" w:type="dxa"/>
          </w:tcPr>
          <w:p w:rsidR="00922CF9" w:rsidRPr="00400487" w:rsidRDefault="00922CF9" w:rsidP="00F853CA">
            <w:pPr>
              <w:pStyle w:val="newncpi"/>
              <w:ind w:firstLine="0"/>
              <w:jc w:val="center"/>
              <w:rPr>
                <w:sz w:val="26"/>
                <w:szCs w:val="26"/>
              </w:rPr>
            </w:pPr>
            <w:r w:rsidRPr="00400487">
              <w:rPr>
                <w:sz w:val="26"/>
                <w:szCs w:val="26"/>
              </w:rPr>
              <w:t>№ п/п</w:t>
            </w:r>
          </w:p>
        </w:tc>
        <w:tc>
          <w:tcPr>
            <w:tcW w:w="3369" w:type="dxa"/>
          </w:tcPr>
          <w:p w:rsidR="00922CF9" w:rsidRPr="00400487" w:rsidRDefault="00922CF9" w:rsidP="00F853CA">
            <w:pPr>
              <w:pStyle w:val="newncpi"/>
              <w:ind w:firstLine="0"/>
              <w:jc w:val="center"/>
              <w:rPr>
                <w:sz w:val="26"/>
                <w:szCs w:val="26"/>
              </w:rPr>
            </w:pPr>
            <w:r w:rsidRPr="00400487">
              <w:rPr>
                <w:sz w:val="26"/>
                <w:szCs w:val="26"/>
              </w:rPr>
              <w:t>Наименование критериев</w:t>
            </w:r>
          </w:p>
        </w:tc>
        <w:tc>
          <w:tcPr>
            <w:tcW w:w="1701" w:type="dxa"/>
          </w:tcPr>
          <w:p w:rsidR="00922CF9" w:rsidRPr="00400487" w:rsidRDefault="00922CF9" w:rsidP="00F853CA">
            <w:pPr>
              <w:pStyle w:val="newncpi"/>
              <w:ind w:firstLine="0"/>
              <w:jc w:val="center"/>
              <w:rPr>
                <w:sz w:val="26"/>
                <w:szCs w:val="26"/>
              </w:rPr>
            </w:pPr>
            <w:r w:rsidRPr="00400487">
              <w:rPr>
                <w:sz w:val="26"/>
                <w:szCs w:val="26"/>
              </w:rPr>
              <w:t>Удельный вес критерия</w:t>
            </w:r>
          </w:p>
        </w:tc>
        <w:tc>
          <w:tcPr>
            <w:tcW w:w="3827" w:type="dxa"/>
          </w:tcPr>
          <w:p w:rsidR="00922CF9" w:rsidRPr="00400487" w:rsidRDefault="00922CF9" w:rsidP="00F853CA">
            <w:pPr>
              <w:pStyle w:val="newncpi"/>
              <w:ind w:firstLine="0"/>
              <w:jc w:val="center"/>
              <w:rPr>
                <w:sz w:val="26"/>
                <w:szCs w:val="26"/>
              </w:rPr>
            </w:pPr>
            <w:r w:rsidRPr="00400487">
              <w:rPr>
                <w:sz w:val="26"/>
                <w:szCs w:val="26"/>
              </w:rPr>
              <w:t>Наилучшее значение оцениваемого критерия</w:t>
            </w:r>
          </w:p>
        </w:tc>
      </w:tr>
      <w:tr w:rsidR="00922CF9" w:rsidTr="00F853CA">
        <w:tc>
          <w:tcPr>
            <w:tcW w:w="9464" w:type="dxa"/>
            <w:gridSpan w:val="4"/>
          </w:tcPr>
          <w:p w:rsidR="00922CF9" w:rsidRPr="00400487" w:rsidRDefault="00922CF9" w:rsidP="00B547C3">
            <w:pPr>
              <w:pStyle w:val="newncpi"/>
              <w:ind w:firstLine="0"/>
              <w:rPr>
                <w:sz w:val="26"/>
                <w:szCs w:val="26"/>
              </w:rPr>
            </w:pPr>
            <w:r w:rsidRPr="00400487">
              <w:rPr>
                <w:sz w:val="26"/>
                <w:szCs w:val="26"/>
              </w:rPr>
              <w:t xml:space="preserve">Стоимостная группа критериев оценки – </w:t>
            </w:r>
            <w:r w:rsidR="00B547C3">
              <w:rPr>
                <w:sz w:val="26"/>
                <w:szCs w:val="26"/>
              </w:rPr>
              <w:t>7</w:t>
            </w:r>
            <w:r w:rsidR="008D35A9">
              <w:rPr>
                <w:sz w:val="26"/>
                <w:szCs w:val="26"/>
              </w:rPr>
              <w:t>0</w:t>
            </w:r>
            <w:r w:rsidRPr="00400487">
              <w:rPr>
                <w:sz w:val="26"/>
                <w:szCs w:val="26"/>
              </w:rPr>
              <w:t xml:space="preserve"> баллов</w:t>
            </w:r>
          </w:p>
        </w:tc>
      </w:tr>
      <w:tr w:rsidR="00922CF9" w:rsidTr="00F853CA">
        <w:tc>
          <w:tcPr>
            <w:tcW w:w="567" w:type="dxa"/>
          </w:tcPr>
          <w:p w:rsidR="00922CF9" w:rsidRPr="00400487" w:rsidRDefault="00922CF9" w:rsidP="00F853CA">
            <w:pPr>
              <w:pStyle w:val="newncpi"/>
              <w:ind w:firstLine="0"/>
              <w:rPr>
                <w:sz w:val="26"/>
                <w:szCs w:val="26"/>
              </w:rPr>
            </w:pPr>
            <w:r w:rsidRPr="00400487">
              <w:rPr>
                <w:sz w:val="26"/>
                <w:szCs w:val="26"/>
              </w:rPr>
              <w:lastRenderedPageBreak/>
              <w:t>1.</w:t>
            </w:r>
          </w:p>
        </w:tc>
        <w:tc>
          <w:tcPr>
            <w:tcW w:w="3369" w:type="dxa"/>
          </w:tcPr>
          <w:p w:rsidR="00922CF9" w:rsidRPr="00400487" w:rsidRDefault="00922CF9" w:rsidP="00F853CA">
            <w:pPr>
              <w:pStyle w:val="newncpi"/>
              <w:ind w:firstLine="0"/>
              <w:rPr>
                <w:sz w:val="26"/>
                <w:szCs w:val="26"/>
              </w:rPr>
            </w:pPr>
            <w:r w:rsidRPr="00400487">
              <w:rPr>
                <w:sz w:val="26"/>
                <w:szCs w:val="26"/>
              </w:rPr>
              <w:t>Цена предложения</w:t>
            </w:r>
          </w:p>
        </w:tc>
        <w:tc>
          <w:tcPr>
            <w:tcW w:w="1701" w:type="dxa"/>
          </w:tcPr>
          <w:p w:rsidR="00922CF9" w:rsidRPr="00400487" w:rsidRDefault="00922CF9" w:rsidP="00F853CA">
            <w:pPr>
              <w:pStyle w:val="newncpi"/>
              <w:ind w:firstLine="0"/>
              <w:rPr>
                <w:sz w:val="26"/>
                <w:szCs w:val="26"/>
              </w:rPr>
            </w:pPr>
            <w:r w:rsidRPr="00400487">
              <w:rPr>
                <w:sz w:val="26"/>
                <w:szCs w:val="26"/>
              </w:rPr>
              <w:t>100 %</w:t>
            </w:r>
          </w:p>
        </w:tc>
        <w:tc>
          <w:tcPr>
            <w:tcW w:w="3827" w:type="dxa"/>
          </w:tcPr>
          <w:p w:rsidR="00922CF9" w:rsidRPr="00400487" w:rsidRDefault="00922CF9" w:rsidP="00F853CA">
            <w:pPr>
              <w:pStyle w:val="newncpi"/>
              <w:ind w:firstLine="0"/>
              <w:rPr>
                <w:sz w:val="26"/>
                <w:szCs w:val="26"/>
              </w:rPr>
            </w:pPr>
            <w:r>
              <w:rPr>
                <w:sz w:val="26"/>
                <w:szCs w:val="26"/>
              </w:rPr>
              <w:t>Наименьшая </w:t>
            </w:r>
            <w:r w:rsidRPr="00400487">
              <w:rPr>
                <w:sz w:val="26"/>
                <w:szCs w:val="26"/>
              </w:rPr>
              <w:t>цена, предложенная участником</w:t>
            </w:r>
            <w:r>
              <w:rPr>
                <w:sz w:val="26"/>
                <w:szCs w:val="26"/>
              </w:rPr>
              <w:t>.</w:t>
            </w:r>
          </w:p>
        </w:tc>
      </w:tr>
      <w:tr w:rsidR="00922CF9" w:rsidTr="00F853CA">
        <w:tc>
          <w:tcPr>
            <w:tcW w:w="9464" w:type="dxa"/>
            <w:gridSpan w:val="4"/>
          </w:tcPr>
          <w:p w:rsidR="00922CF9" w:rsidRPr="00400487" w:rsidRDefault="00922CF9" w:rsidP="00B547C3">
            <w:pPr>
              <w:pStyle w:val="newncpi"/>
              <w:ind w:firstLine="0"/>
              <w:rPr>
                <w:sz w:val="26"/>
                <w:szCs w:val="26"/>
              </w:rPr>
            </w:pPr>
            <w:r w:rsidRPr="00400487">
              <w:rPr>
                <w:sz w:val="26"/>
                <w:szCs w:val="26"/>
              </w:rPr>
              <w:t xml:space="preserve">Нестоимостная группа критериев оценки – </w:t>
            </w:r>
            <w:r w:rsidR="00B547C3">
              <w:rPr>
                <w:sz w:val="26"/>
                <w:szCs w:val="26"/>
              </w:rPr>
              <w:t>30</w:t>
            </w:r>
            <w:r w:rsidRPr="00400487">
              <w:rPr>
                <w:sz w:val="26"/>
                <w:szCs w:val="26"/>
              </w:rPr>
              <w:t xml:space="preserve"> баллов</w:t>
            </w:r>
          </w:p>
        </w:tc>
      </w:tr>
      <w:tr w:rsidR="00922CF9" w:rsidTr="00F853CA">
        <w:tc>
          <w:tcPr>
            <w:tcW w:w="567" w:type="dxa"/>
          </w:tcPr>
          <w:p w:rsidR="00922CF9" w:rsidRPr="00400487" w:rsidRDefault="00922CF9" w:rsidP="00F853CA">
            <w:pPr>
              <w:pStyle w:val="newncpi"/>
              <w:ind w:firstLine="0"/>
              <w:rPr>
                <w:sz w:val="26"/>
                <w:szCs w:val="26"/>
              </w:rPr>
            </w:pPr>
            <w:r w:rsidRPr="00400487">
              <w:rPr>
                <w:sz w:val="26"/>
                <w:szCs w:val="26"/>
              </w:rPr>
              <w:t>1.</w:t>
            </w:r>
          </w:p>
        </w:tc>
        <w:tc>
          <w:tcPr>
            <w:tcW w:w="3369" w:type="dxa"/>
          </w:tcPr>
          <w:p w:rsidR="00922CF9" w:rsidRPr="00400487" w:rsidRDefault="00922CF9" w:rsidP="00F853CA">
            <w:pPr>
              <w:pStyle w:val="newncpi"/>
              <w:ind w:firstLine="0"/>
              <w:rPr>
                <w:sz w:val="26"/>
                <w:szCs w:val="26"/>
              </w:rPr>
            </w:pPr>
            <w:r w:rsidRPr="00400487">
              <w:rPr>
                <w:sz w:val="26"/>
                <w:szCs w:val="26"/>
              </w:rPr>
              <w:t>Сроки выполнения работ</w:t>
            </w:r>
          </w:p>
        </w:tc>
        <w:tc>
          <w:tcPr>
            <w:tcW w:w="1701" w:type="dxa"/>
          </w:tcPr>
          <w:p w:rsidR="00922CF9" w:rsidRPr="00400487" w:rsidRDefault="00922CF9" w:rsidP="00F853CA">
            <w:pPr>
              <w:pStyle w:val="newncpi"/>
              <w:ind w:firstLine="0"/>
              <w:rPr>
                <w:sz w:val="26"/>
                <w:szCs w:val="26"/>
              </w:rPr>
            </w:pPr>
            <w:r>
              <w:rPr>
                <w:sz w:val="26"/>
                <w:szCs w:val="26"/>
              </w:rPr>
              <w:t>60 %</w:t>
            </w:r>
          </w:p>
        </w:tc>
        <w:tc>
          <w:tcPr>
            <w:tcW w:w="3827" w:type="dxa"/>
          </w:tcPr>
          <w:p w:rsidR="00922CF9" w:rsidRDefault="00922CF9" w:rsidP="00F853CA">
            <w:pPr>
              <w:pStyle w:val="newncpi"/>
              <w:ind w:firstLine="0"/>
              <w:rPr>
                <w:sz w:val="26"/>
                <w:szCs w:val="26"/>
              </w:rPr>
            </w:pPr>
            <w:r w:rsidRPr="00400487">
              <w:rPr>
                <w:sz w:val="26"/>
                <w:szCs w:val="26"/>
              </w:rPr>
              <w:t>Наименьший срок выполнения работ</w:t>
            </w:r>
            <w:r>
              <w:rPr>
                <w:sz w:val="26"/>
                <w:szCs w:val="26"/>
              </w:rPr>
              <w:t xml:space="preserve">. </w:t>
            </w:r>
          </w:p>
          <w:p w:rsidR="00922CF9" w:rsidRDefault="00922CF9" w:rsidP="00F853CA">
            <w:pPr>
              <w:pStyle w:val="newncpi"/>
              <w:ind w:firstLine="0"/>
              <w:rPr>
                <w:sz w:val="20"/>
                <w:szCs w:val="20"/>
              </w:rPr>
            </w:pPr>
            <w:r>
              <w:rPr>
                <w:sz w:val="20"/>
                <w:szCs w:val="20"/>
              </w:rPr>
              <w:t>Сроки выполнения работ не могут быть уменьшены больше, чем на 25 %.</w:t>
            </w:r>
          </w:p>
          <w:p w:rsidR="00922CF9" w:rsidRPr="00415738" w:rsidRDefault="00922CF9" w:rsidP="00F853CA">
            <w:pPr>
              <w:pStyle w:val="newncpi"/>
              <w:ind w:firstLine="0"/>
              <w:rPr>
                <w:sz w:val="20"/>
                <w:szCs w:val="20"/>
              </w:rPr>
            </w:pPr>
            <w:r w:rsidRPr="00415738">
              <w:rPr>
                <w:sz w:val="20"/>
                <w:szCs w:val="20"/>
              </w:rPr>
              <w:t>Сроки указываются в календарных днях.</w:t>
            </w:r>
          </w:p>
        </w:tc>
      </w:tr>
      <w:tr w:rsidR="00922CF9" w:rsidTr="00F853CA">
        <w:tc>
          <w:tcPr>
            <w:tcW w:w="567" w:type="dxa"/>
          </w:tcPr>
          <w:p w:rsidR="00922CF9" w:rsidRPr="00400487" w:rsidRDefault="00786C99" w:rsidP="00F853CA">
            <w:pPr>
              <w:pStyle w:val="newncpi"/>
              <w:ind w:firstLine="0"/>
              <w:rPr>
                <w:sz w:val="26"/>
                <w:szCs w:val="26"/>
              </w:rPr>
            </w:pPr>
            <w:r>
              <w:rPr>
                <w:sz w:val="26"/>
                <w:szCs w:val="26"/>
              </w:rPr>
              <w:t>2</w:t>
            </w:r>
            <w:r w:rsidR="00922CF9">
              <w:rPr>
                <w:sz w:val="26"/>
                <w:szCs w:val="26"/>
              </w:rPr>
              <w:t>.</w:t>
            </w:r>
          </w:p>
        </w:tc>
        <w:tc>
          <w:tcPr>
            <w:tcW w:w="3369" w:type="dxa"/>
          </w:tcPr>
          <w:p w:rsidR="00922CF9" w:rsidRPr="00400487" w:rsidRDefault="00922CF9" w:rsidP="00F853CA">
            <w:pPr>
              <w:pStyle w:val="newncpi"/>
              <w:ind w:firstLine="0"/>
              <w:rPr>
                <w:color w:val="000000"/>
                <w:sz w:val="26"/>
                <w:szCs w:val="26"/>
                <w:shd w:val="clear" w:color="auto" w:fill="FFFFFF"/>
              </w:rPr>
            </w:pPr>
            <w:r>
              <w:rPr>
                <w:color w:val="000000"/>
                <w:sz w:val="26"/>
                <w:szCs w:val="26"/>
                <w:shd w:val="clear" w:color="auto" w:fill="FFFFFF"/>
              </w:rPr>
              <w:t>О</w:t>
            </w:r>
            <w:r w:rsidRPr="00400487">
              <w:rPr>
                <w:color w:val="000000"/>
                <w:sz w:val="26"/>
                <w:szCs w:val="26"/>
                <w:shd w:val="clear" w:color="auto" w:fill="FFFFFF"/>
              </w:rPr>
              <w:t>бщая цена договоров, соответствующих предмету государственной закупки, или аналогичных, исполненных участником за последние три года</w:t>
            </w:r>
          </w:p>
        </w:tc>
        <w:tc>
          <w:tcPr>
            <w:tcW w:w="1701" w:type="dxa"/>
          </w:tcPr>
          <w:p w:rsidR="00922CF9" w:rsidRPr="00400487" w:rsidRDefault="00B547C3" w:rsidP="00F853CA">
            <w:pPr>
              <w:pStyle w:val="newncpi"/>
              <w:ind w:firstLine="0"/>
              <w:rPr>
                <w:sz w:val="26"/>
                <w:szCs w:val="26"/>
              </w:rPr>
            </w:pPr>
            <w:r>
              <w:rPr>
                <w:sz w:val="26"/>
                <w:szCs w:val="26"/>
              </w:rPr>
              <w:t>4</w:t>
            </w:r>
            <w:r w:rsidR="00922CF9">
              <w:rPr>
                <w:sz w:val="26"/>
                <w:szCs w:val="26"/>
              </w:rPr>
              <w:t>0 %</w:t>
            </w:r>
          </w:p>
        </w:tc>
        <w:tc>
          <w:tcPr>
            <w:tcW w:w="3827" w:type="dxa"/>
          </w:tcPr>
          <w:p w:rsidR="00922CF9" w:rsidRPr="00400487" w:rsidRDefault="00922CF9" w:rsidP="00F853CA">
            <w:pPr>
              <w:pStyle w:val="newncpi"/>
              <w:ind w:firstLine="0"/>
              <w:rPr>
                <w:sz w:val="26"/>
                <w:szCs w:val="26"/>
              </w:rPr>
            </w:pPr>
            <w:r>
              <w:rPr>
                <w:sz w:val="26"/>
                <w:szCs w:val="26"/>
              </w:rPr>
              <w:t xml:space="preserve">Участнику необходимо представить список объектов          (с указанием наименования объекта, заказчика, вида выполняемых на объекте работ (например: общестроительные, санитарно-технические, электромонтажные и т.д.), </w:t>
            </w:r>
            <w:r w:rsidRPr="006700DA">
              <w:rPr>
                <w:sz w:val="26"/>
                <w:szCs w:val="26"/>
                <w:u w:val="single"/>
              </w:rPr>
              <w:t>цены заключенного договора</w:t>
            </w:r>
            <w:r>
              <w:rPr>
                <w:sz w:val="26"/>
                <w:szCs w:val="26"/>
              </w:rPr>
              <w:t xml:space="preserve">) на которых он выполнял аналогичные работы, за последние три года. Максимальный балл (процент) будет начислен участнику, представившему наибольшую </w:t>
            </w:r>
            <w:r>
              <w:rPr>
                <w:color w:val="000000"/>
                <w:sz w:val="26"/>
                <w:szCs w:val="26"/>
                <w:shd w:val="clear" w:color="auto" w:fill="FFFFFF"/>
              </w:rPr>
              <w:t>о</w:t>
            </w:r>
            <w:r w:rsidRPr="00400487">
              <w:rPr>
                <w:color w:val="000000"/>
                <w:sz w:val="26"/>
                <w:szCs w:val="26"/>
                <w:shd w:val="clear" w:color="auto" w:fill="FFFFFF"/>
              </w:rPr>
              <w:t>бщ</w:t>
            </w:r>
            <w:r>
              <w:rPr>
                <w:color w:val="000000"/>
                <w:sz w:val="26"/>
                <w:szCs w:val="26"/>
                <w:shd w:val="clear" w:color="auto" w:fill="FFFFFF"/>
              </w:rPr>
              <w:t>ую</w:t>
            </w:r>
            <w:r w:rsidRPr="00400487">
              <w:rPr>
                <w:color w:val="000000"/>
                <w:sz w:val="26"/>
                <w:szCs w:val="26"/>
                <w:shd w:val="clear" w:color="auto" w:fill="FFFFFF"/>
              </w:rPr>
              <w:t xml:space="preserve"> цен</w:t>
            </w:r>
            <w:r>
              <w:rPr>
                <w:color w:val="000000"/>
                <w:sz w:val="26"/>
                <w:szCs w:val="26"/>
                <w:shd w:val="clear" w:color="auto" w:fill="FFFFFF"/>
              </w:rPr>
              <w:t>у</w:t>
            </w:r>
            <w:r w:rsidR="007900A4">
              <w:rPr>
                <w:color w:val="000000"/>
                <w:sz w:val="26"/>
                <w:szCs w:val="26"/>
                <w:shd w:val="clear" w:color="auto" w:fill="FFFFFF"/>
              </w:rPr>
              <w:t xml:space="preserve"> </w:t>
            </w:r>
            <w:r>
              <w:rPr>
                <w:color w:val="000000"/>
                <w:sz w:val="26"/>
                <w:szCs w:val="26"/>
                <w:shd w:val="clear" w:color="auto" w:fill="FFFFFF"/>
              </w:rPr>
              <w:t xml:space="preserve">заключенных </w:t>
            </w:r>
            <w:r w:rsidRPr="00400487">
              <w:rPr>
                <w:color w:val="000000"/>
                <w:sz w:val="26"/>
                <w:szCs w:val="26"/>
                <w:shd w:val="clear" w:color="auto" w:fill="FFFFFF"/>
              </w:rPr>
              <w:t>договоров</w:t>
            </w:r>
            <w:r>
              <w:rPr>
                <w:sz w:val="26"/>
                <w:szCs w:val="26"/>
              </w:rPr>
              <w:t>.</w:t>
            </w:r>
          </w:p>
        </w:tc>
      </w:tr>
    </w:tbl>
    <w:p w:rsidR="00922CF9" w:rsidRPr="00922CF9" w:rsidRDefault="00922CF9" w:rsidP="00922CF9">
      <w:pPr>
        <w:pStyle w:val="aa"/>
        <w:shd w:val="clear" w:color="auto" w:fill="FFFFFF"/>
        <w:spacing w:after="0" w:line="240" w:lineRule="auto"/>
        <w:jc w:val="both"/>
        <w:rPr>
          <w:rFonts w:eastAsia="Times New Roman"/>
          <w:color w:val="000000"/>
          <w:sz w:val="28"/>
          <w:szCs w:val="28"/>
          <w:lang w:val="be-BY" w:eastAsia="be-BY"/>
        </w:rPr>
      </w:pPr>
      <w:r w:rsidRPr="00922CF9">
        <w:rPr>
          <w:rFonts w:eastAsia="Times New Roman"/>
          <w:color w:val="000000"/>
          <w:sz w:val="28"/>
          <w:szCs w:val="28"/>
          <w:lang w:val="be-BY" w:eastAsia="be-BY"/>
        </w:rPr>
        <w:t>Итоговое количество баллов, присвоенных предложению i-го участника,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ИБ</w:t>
      </w:r>
      <w:r w:rsidRPr="00922CF9">
        <w:rPr>
          <w:rFonts w:eastAsia="Times New Roman"/>
          <w:color w:val="000000"/>
          <w:sz w:val="28"/>
          <w:szCs w:val="28"/>
          <w:vertAlign w:val="subscript"/>
          <w:lang w:val="be-BY" w:eastAsia="be-BY"/>
        </w:rPr>
        <w:t>і </w:t>
      </w:r>
      <w:r w:rsidRPr="00922CF9">
        <w:rPr>
          <w:rFonts w:eastAsia="Times New Roman"/>
          <w:color w:val="000000"/>
          <w:sz w:val="28"/>
          <w:szCs w:val="28"/>
          <w:lang w:val="be-BY" w:eastAsia="be-BY"/>
        </w:rPr>
        <w:t>= (ИС</w:t>
      </w:r>
      <w:r w:rsidRPr="00922CF9">
        <w:rPr>
          <w:rFonts w:eastAsia="Times New Roman"/>
          <w:color w:val="000000"/>
          <w:sz w:val="28"/>
          <w:szCs w:val="28"/>
          <w:vertAlign w:val="subscript"/>
          <w:lang w:val="be-BY" w:eastAsia="be-BY"/>
        </w:rPr>
        <w:t>і</w:t>
      </w:r>
      <w:r w:rsidRPr="00922CF9">
        <w:rPr>
          <w:rFonts w:eastAsia="Times New Roman"/>
          <w:color w:val="000000"/>
          <w:sz w:val="28"/>
          <w:szCs w:val="28"/>
          <w:lang w:val="be-BY" w:eastAsia="be-BY"/>
        </w:rPr>
        <w:t>  У</w:t>
      </w:r>
      <w:r w:rsidRPr="00922CF9">
        <w:rPr>
          <w:rFonts w:eastAsia="Times New Roman"/>
          <w:color w:val="000000"/>
          <w:sz w:val="28"/>
          <w:szCs w:val="28"/>
          <w:vertAlign w:val="subscript"/>
          <w:lang w:val="be-BY" w:eastAsia="be-BY"/>
        </w:rPr>
        <w:t>с</w:t>
      </w:r>
      <w:r w:rsidRPr="00922CF9">
        <w:rPr>
          <w:rFonts w:eastAsia="Times New Roman"/>
          <w:color w:val="000000"/>
          <w:sz w:val="28"/>
          <w:szCs w:val="28"/>
          <w:lang w:val="be-BY" w:eastAsia="be-BY"/>
        </w:rPr>
        <w:t> / 100) + (ИН</w:t>
      </w:r>
      <w:r w:rsidRPr="00922CF9">
        <w:rPr>
          <w:rFonts w:eastAsia="Times New Roman"/>
          <w:color w:val="000000"/>
          <w:sz w:val="28"/>
          <w:szCs w:val="28"/>
          <w:vertAlign w:val="subscript"/>
          <w:lang w:val="be-BY" w:eastAsia="be-BY"/>
        </w:rPr>
        <w:t>і</w:t>
      </w:r>
      <w:r w:rsidRPr="00922CF9">
        <w:rPr>
          <w:rFonts w:eastAsia="Times New Roman"/>
          <w:color w:val="000000"/>
          <w:sz w:val="28"/>
          <w:szCs w:val="28"/>
          <w:lang w:val="be-BY" w:eastAsia="be-BY"/>
        </w:rPr>
        <w:t>  У</w:t>
      </w:r>
      <w:r w:rsidRPr="00922CF9">
        <w:rPr>
          <w:rFonts w:eastAsia="Times New Roman"/>
          <w:color w:val="000000"/>
          <w:sz w:val="28"/>
          <w:szCs w:val="28"/>
          <w:vertAlign w:val="subscript"/>
          <w:lang w:val="be-BY" w:eastAsia="be-BY"/>
        </w:rPr>
        <w:t>нс</w:t>
      </w:r>
      <w:r w:rsidRPr="00922CF9">
        <w:rPr>
          <w:rFonts w:eastAsia="Times New Roman"/>
          <w:color w:val="000000"/>
          <w:sz w:val="28"/>
          <w:szCs w:val="28"/>
          <w:lang w:val="be-BY" w:eastAsia="be-BY"/>
        </w:rPr>
        <w:t> / 100),</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ИБ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итоговое количество баллов, присвоенных предложению i-го участника;</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ИС</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итоговое количество баллов, присвоенных предложению i-го участника в соответствии с критериями оценки из 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У</w:t>
      </w:r>
      <w:r w:rsidRPr="00922CF9">
        <w:rPr>
          <w:rFonts w:eastAsia="Times New Roman"/>
          <w:color w:val="000000"/>
          <w:sz w:val="28"/>
          <w:szCs w:val="28"/>
          <w:vertAlign w:val="subscript"/>
          <w:lang w:val="be-BY" w:eastAsia="be-BY"/>
        </w:rPr>
        <w:t>с</w:t>
      </w:r>
      <w:r w:rsidRPr="00922CF9">
        <w:rPr>
          <w:rFonts w:eastAsia="Times New Roman"/>
          <w:color w:val="000000"/>
          <w:sz w:val="28"/>
          <w:szCs w:val="28"/>
          <w:lang w:val="be-BY" w:eastAsia="be-BY"/>
        </w:rPr>
        <w:t> – удельный вес стоимостной группы критериев оценки;</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ИН</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итоговое количество баллов, присвоенных предложению i-го участника в соответствии с критериями оценки из нестоимостной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У</w:t>
      </w:r>
      <w:r w:rsidRPr="00922CF9">
        <w:rPr>
          <w:rFonts w:eastAsia="Times New Roman"/>
          <w:color w:val="000000"/>
          <w:sz w:val="28"/>
          <w:szCs w:val="28"/>
          <w:vertAlign w:val="subscript"/>
          <w:lang w:val="be-BY" w:eastAsia="be-BY"/>
        </w:rPr>
        <w:t>нс</w:t>
      </w:r>
      <w:r w:rsidRPr="00922CF9">
        <w:rPr>
          <w:rFonts w:eastAsia="Times New Roman"/>
          <w:color w:val="000000"/>
          <w:sz w:val="28"/>
          <w:szCs w:val="28"/>
          <w:lang w:val="be-BY" w:eastAsia="be-BY"/>
        </w:rPr>
        <w:t> – удельный вес нестоимостной группы критериев оценки.</w:t>
      </w:r>
    </w:p>
    <w:p w:rsidR="00922CF9" w:rsidRPr="00922CF9" w:rsidRDefault="00922CF9" w:rsidP="00922CF9">
      <w:pPr>
        <w:pStyle w:val="aa"/>
        <w:shd w:val="clear" w:color="auto" w:fill="FFFFFF"/>
        <w:spacing w:after="0" w:line="240" w:lineRule="auto"/>
        <w:jc w:val="both"/>
        <w:rPr>
          <w:rFonts w:eastAsia="Times New Roman"/>
          <w:color w:val="000000"/>
          <w:sz w:val="12"/>
          <w:szCs w:val="12"/>
          <w:lang w:val="be-BY" w:eastAsia="be-BY"/>
        </w:rPr>
      </w:pP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Итоговое количество баллов, присвоенных предложению i-го участника в соответствии с критериями оценки из стоимостной группы,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ИС</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(ЦП</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ЦП</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У</w:t>
      </w:r>
      <w:r w:rsidRPr="00922CF9">
        <w:rPr>
          <w:rFonts w:eastAsia="Times New Roman"/>
          <w:color w:val="000000"/>
          <w:sz w:val="28"/>
          <w:szCs w:val="28"/>
          <w:vertAlign w:val="subscript"/>
          <w:lang w:val="be-BY" w:eastAsia="be-BY"/>
        </w:rPr>
        <w:t>ск</w:t>
      </w:r>
      <w:r w:rsidRPr="00922CF9">
        <w:rPr>
          <w:rFonts w:eastAsia="Times New Roman"/>
          <w:color w:val="000000"/>
          <w:sz w:val="28"/>
          <w:szCs w:val="28"/>
          <w:lang w:val="be-BY" w:eastAsia="be-BY"/>
        </w:rPr>
        <w:t>),</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ЦП</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наименьшая цена предложения из предложений участников, допущенных к оценке и сравнению предложений;</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lastRenderedPageBreak/>
        <w:t>ЦП</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цена предложения i-го участника, предложение которого оценивается;</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У</w:t>
      </w:r>
      <w:r w:rsidRPr="00922CF9">
        <w:rPr>
          <w:rFonts w:eastAsia="Times New Roman"/>
          <w:color w:val="000000"/>
          <w:sz w:val="28"/>
          <w:szCs w:val="28"/>
          <w:vertAlign w:val="subscript"/>
          <w:lang w:val="be-BY" w:eastAsia="be-BY"/>
        </w:rPr>
        <w:t>ск</w:t>
      </w:r>
      <w:r w:rsidRPr="00922CF9">
        <w:rPr>
          <w:rFonts w:eastAsia="Times New Roman"/>
          <w:color w:val="000000"/>
          <w:sz w:val="28"/>
          <w:szCs w:val="28"/>
          <w:lang w:val="be-BY" w:eastAsia="be-BY"/>
        </w:rPr>
        <w:t> – удельный вес критерия оценки из стоимостной группы.</w:t>
      </w:r>
    </w:p>
    <w:p w:rsidR="00922CF9" w:rsidRPr="00922CF9" w:rsidRDefault="00922CF9" w:rsidP="00922CF9">
      <w:pPr>
        <w:pStyle w:val="aa"/>
        <w:shd w:val="clear" w:color="auto" w:fill="FFFFFF"/>
        <w:spacing w:after="240" w:line="240" w:lineRule="exact"/>
        <w:jc w:val="both"/>
        <w:rPr>
          <w:rFonts w:eastAsia="Times New Roman"/>
          <w:color w:val="000000"/>
          <w:sz w:val="20"/>
          <w:szCs w:val="20"/>
          <w:lang w:val="be-BY" w:eastAsia="be-BY"/>
        </w:rPr>
      </w:pPr>
      <w:r>
        <w:rPr>
          <w:rFonts w:eastAsia="Times New Roman"/>
          <w:color w:val="000000"/>
          <w:sz w:val="20"/>
          <w:szCs w:val="20"/>
          <w:lang w:val="be-BY" w:eastAsia="be-BY"/>
        </w:rPr>
        <w:tab/>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Итоговое количество баллов, присвоенных предложению i-го участника в соответствии с критериями оценки из нестоимостной группы,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Pr>
          <w:rFonts w:eastAsia="Times New Roman"/>
          <w:color w:val="000000"/>
          <w:sz w:val="28"/>
          <w:szCs w:val="28"/>
          <w:lang w:val="be-BY" w:eastAsia="be-BY"/>
        </w:rPr>
        <w:tab/>
      </w:r>
    </w:p>
    <w:tbl>
      <w:tblPr>
        <w:tblW w:w="0" w:type="auto"/>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3"/>
        <w:gridCol w:w="469"/>
        <w:gridCol w:w="523"/>
        <w:gridCol w:w="890"/>
      </w:tblGrid>
      <w:tr w:rsidR="00922CF9" w:rsidRPr="003C3109" w:rsidTr="00F853CA">
        <w:tc>
          <w:tcPr>
            <w:tcW w:w="709" w:type="dxa"/>
            <w:vMerge w:val="restart"/>
            <w:tcBorders>
              <w:top w:val="nil"/>
              <w:left w:val="nil"/>
              <w:bottom w:val="nil"/>
              <w:right w:val="nil"/>
            </w:tcBorders>
            <w:vAlign w:val="center"/>
          </w:tcPr>
          <w:p w:rsidR="00922CF9" w:rsidRPr="00221100" w:rsidRDefault="00922CF9" w:rsidP="00F853CA">
            <w:pPr>
              <w:spacing w:after="0" w:line="240" w:lineRule="auto"/>
              <w:jc w:val="center"/>
              <w:rPr>
                <w:rFonts w:eastAsia="Times New Roman"/>
                <w:sz w:val="28"/>
                <w:szCs w:val="28"/>
                <w:lang w:val="en-US" w:eastAsia="be-BY"/>
              </w:rPr>
            </w:pPr>
            <w:r w:rsidRPr="00221100">
              <w:rPr>
                <w:rFonts w:eastAsia="Times New Roman"/>
                <w:sz w:val="28"/>
                <w:szCs w:val="28"/>
                <w:lang w:val="be-BY" w:eastAsia="be-BY"/>
              </w:rPr>
              <w:t>ИН</w:t>
            </w:r>
            <w:r w:rsidRPr="00221100">
              <w:rPr>
                <w:rFonts w:eastAsia="Times New Roman"/>
                <w:sz w:val="28"/>
                <w:szCs w:val="28"/>
                <w:vertAlign w:val="subscript"/>
                <w:lang w:val="be-BY" w:eastAsia="be-BY"/>
              </w:rPr>
              <w:t>i</w:t>
            </w:r>
          </w:p>
        </w:tc>
        <w:tc>
          <w:tcPr>
            <w:tcW w:w="283" w:type="dxa"/>
            <w:vMerge w:val="restart"/>
            <w:tcBorders>
              <w:top w:val="nil"/>
              <w:left w:val="nil"/>
              <w:bottom w:val="nil"/>
              <w:right w:val="nil"/>
            </w:tcBorders>
            <w:vAlign w:val="center"/>
          </w:tcPr>
          <w:p w:rsidR="00922CF9" w:rsidRPr="00221100" w:rsidRDefault="00922CF9" w:rsidP="00F853CA">
            <w:pPr>
              <w:spacing w:after="0" w:line="240" w:lineRule="auto"/>
              <w:ind w:left="-108"/>
              <w:jc w:val="center"/>
              <w:rPr>
                <w:rFonts w:eastAsia="Times New Roman"/>
                <w:sz w:val="28"/>
                <w:szCs w:val="28"/>
                <w:lang w:val="en-US" w:eastAsia="be-BY"/>
              </w:rPr>
            </w:pPr>
            <w:r w:rsidRPr="00221100">
              <w:rPr>
                <w:rFonts w:eastAsia="Times New Roman"/>
                <w:sz w:val="28"/>
                <w:szCs w:val="28"/>
                <w:lang w:val="be-BY" w:eastAsia="be-BY"/>
              </w:rPr>
              <w:t>=</w:t>
            </w:r>
          </w:p>
        </w:tc>
        <w:tc>
          <w:tcPr>
            <w:tcW w:w="469" w:type="dxa"/>
            <w:vMerge w:val="restart"/>
            <w:tcBorders>
              <w:top w:val="nil"/>
              <w:left w:val="nil"/>
              <w:bottom w:val="nil"/>
              <w:right w:val="nil"/>
            </w:tcBorders>
            <w:vAlign w:val="center"/>
          </w:tcPr>
          <w:p w:rsidR="00922CF9" w:rsidRPr="00221100" w:rsidRDefault="00922CF9" w:rsidP="00F853CA">
            <w:pPr>
              <w:spacing w:after="0" w:line="240" w:lineRule="auto"/>
              <w:jc w:val="center"/>
              <w:rPr>
                <w:rFonts w:eastAsia="Times New Roman"/>
                <w:sz w:val="28"/>
                <w:szCs w:val="28"/>
                <w:lang w:val="en-US" w:eastAsia="be-BY"/>
              </w:rPr>
            </w:pPr>
            <w:r w:rsidRPr="00221100">
              <w:rPr>
                <w:rFonts w:eastAsia="Times New Roman"/>
                <w:sz w:val="28"/>
                <w:szCs w:val="28"/>
                <w:lang w:val="be-BY" w:eastAsia="be-BY"/>
              </w:rPr>
              <w:t>∑</w:t>
            </w:r>
          </w:p>
        </w:tc>
        <w:tc>
          <w:tcPr>
            <w:tcW w:w="523" w:type="dxa"/>
            <w:tcBorders>
              <w:top w:val="nil"/>
              <w:left w:val="nil"/>
              <w:bottom w:val="nil"/>
              <w:right w:val="nil"/>
            </w:tcBorders>
          </w:tcPr>
          <w:p w:rsidR="00922CF9" w:rsidRPr="00221100" w:rsidRDefault="00922CF9" w:rsidP="00F853CA">
            <w:pPr>
              <w:spacing w:after="0" w:line="240" w:lineRule="auto"/>
              <w:jc w:val="center"/>
              <w:rPr>
                <w:rFonts w:eastAsia="Times New Roman"/>
                <w:sz w:val="28"/>
                <w:szCs w:val="28"/>
                <w:lang w:val="en-US" w:eastAsia="be-BY"/>
              </w:rPr>
            </w:pPr>
            <w:r w:rsidRPr="00221100">
              <w:rPr>
                <w:rFonts w:eastAsia="Times New Roman"/>
                <w:sz w:val="28"/>
                <w:szCs w:val="28"/>
                <w:vertAlign w:val="superscript"/>
                <w:lang w:val="en-US" w:eastAsia="be-BY"/>
              </w:rPr>
              <w:t>n</w:t>
            </w:r>
          </w:p>
        </w:tc>
        <w:tc>
          <w:tcPr>
            <w:tcW w:w="890" w:type="dxa"/>
            <w:vMerge w:val="restart"/>
            <w:tcBorders>
              <w:top w:val="nil"/>
              <w:left w:val="nil"/>
              <w:bottom w:val="nil"/>
              <w:right w:val="nil"/>
            </w:tcBorders>
            <w:vAlign w:val="center"/>
          </w:tcPr>
          <w:p w:rsidR="00922CF9" w:rsidRPr="00221100" w:rsidRDefault="00922CF9" w:rsidP="00F853CA">
            <w:pPr>
              <w:spacing w:after="0" w:line="240" w:lineRule="auto"/>
              <w:jc w:val="center"/>
              <w:rPr>
                <w:rFonts w:eastAsia="Times New Roman"/>
                <w:sz w:val="28"/>
                <w:szCs w:val="28"/>
                <w:vertAlign w:val="subscript"/>
                <w:lang w:val="be-BY" w:eastAsia="be-BY"/>
              </w:rPr>
            </w:pPr>
            <w:r w:rsidRPr="00221100">
              <w:rPr>
                <w:rFonts w:eastAsia="Times New Roman"/>
                <w:sz w:val="28"/>
                <w:szCs w:val="28"/>
                <w:lang w:eastAsia="be-BY"/>
              </w:rPr>
              <w:t>НЦБ</w:t>
            </w:r>
            <w:r w:rsidRPr="00221100">
              <w:rPr>
                <w:rFonts w:eastAsia="Times New Roman"/>
                <w:sz w:val="28"/>
                <w:szCs w:val="28"/>
                <w:vertAlign w:val="subscript"/>
                <w:lang w:val="en-US" w:eastAsia="be-BY"/>
              </w:rPr>
              <w:t>i</w:t>
            </w:r>
          </w:p>
        </w:tc>
      </w:tr>
      <w:tr w:rsidR="00922CF9" w:rsidRPr="003C3109" w:rsidTr="00F853CA">
        <w:tc>
          <w:tcPr>
            <w:tcW w:w="709"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c>
          <w:tcPr>
            <w:tcW w:w="283"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c>
          <w:tcPr>
            <w:tcW w:w="469"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c>
          <w:tcPr>
            <w:tcW w:w="523" w:type="dxa"/>
            <w:tcBorders>
              <w:top w:val="nil"/>
              <w:left w:val="nil"/>
              <w:bottom w:val="nil"/>
              <w:right w:val="nil"/>
            </w:tcBorders>
          </w:tcPr>
          <w:p w:rsidR="00922CF9" w:rsidRPr="00221100" w:rsidRDefault="00922CF9" w:rsidP="00F853CA">
            <w:pPr>
              <w:spacing w:after="0" w:line="240" w:lineRule="auto"/>
              <w:jc w:val="center"/>
              <w:rPr>
                <w:rFonts w:eastAsia="Times New Roman"/>
                <w:sz w:val="28"/>
                <w:szCs w:val="28"/>
                <w:lang w:val="en-US" w:eastAsia="be-BY"/>
              </w:rPr>
            </w:pPr>
            <w:r w:rsidRPr="00221100">
              <w:rPr>
                <w:rFonts w:eastAsia="Times New Roman"/>
                <w:sz w:val="28"/>
                <w:szCs w:val="28"/>
                <w:vertAlign w:val="subscript"/>
                <w:lang w:val="en-US" w:eastAsia="be-BY"/>
              </w:rPr>
              <w:t>i=1</w:t>
            </w:r>
          </w:p>
        </w:tc>
        <w:tc>
          <w:tcPr>
            <w:tcW w:w="890"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r>
    </w:tbl>
    <w:p w:rsidR="00922CF9" w:rsidRPr="00922CF9" w:rsidRDefault="00922CF9" w:rsidP="00B0505E">
      <w:pPr>
        <w:pStyle w:val="aa"/>
        <w:numPr>
          <w:ilvl w:val="0"/>
          <w:numId w:val="3"/>
        </w:numPr>
        <w:shd w:val="clear" w:color="auto" w:fill="FFFFFF"/>
        <w:spacing w:after="0" w:line="240" w:lineRule="auto"/>
        <w:jc w:val="center"/>
        <w:rPr>
          <w:rFonts w:eastAsia="Times New Roman"/>
          <w:color w:val="FF0000"/>
          <w:sz w:val="28"/>
          <w:szCs w:val="28"/>
          <w:vertAlign w:val="superscript"/>
          <w:lang w:val="be-BY" w:eastAsia="be-BY"/>
        </w:rPr>
      </w:pPr>
    </w:p>
    <w:p w:rsidR="00922CF9" w:rsidRPr="00922CF9" w:rsidRDefault="00922CF9" w:rsidP="00922CF9">
      <w:pPr>
        <w:shd w:val="clear" w:color="auto" w:fill="FFFFFF"/>
        <w:spacing w:after="0" w:line="240" w:lineRule="auto"/>
        <w:ind w:left="720"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НЦБ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количество баллов, присвоенных предложению i-го участника в соответствии с критерием оценки из нестоимостной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В случае, если согласно конкурсным документам в качестве лучшего предложения участника предусматривается предложение, которое будет оценено в соответствии с критерием оценки из нестоимостной группы по его наименьшему значению, то количество баллов, присваиваемых предложению  i-го участника в соответствии с данным критерием оценки,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Pr>
          <w:rFonts w:eastAsia="Times New Roman"/>
          <w:color w:val="000000"/>
          <w:sz w:val="28"/>
          <w:szCs w:val="28"/>
          <w:lang w:val="be-BY" w:eastAsia="be-BY"/>
        </w:rPr>
        <w:tab/>
      </w: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НЦБ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У</w:t>
      </w:r>
      <w:r w:rsidRPr="00922CF9">
        <w:rPr>
          <w:rFonts w:eastAsia="Times New Roman"/>
          <w:color w:val="000000"/>
          <w:sz w:val="28"/>
          <w:szCs w:val="28"/>
          <w:vertAlign w:val="subscript"/>
          <w:lang w:val="be-BY" w:eastAsia="be-BY"/>
        </w:rPr>
        <w:t>нск</w:t>
      </w:r>
      <w:r w:rsidRPr="00922CF9">
        <w:rPr>
          <w:rFonts w:eastAsia="Times New Roman"/>
          <w:color w:val="000000"/>
          <w:sz w:val="28"/>
          <w:szCs w:val="28"/>
          <w:lang w:val="be-BY" w:eastAsia="be-BY"/>
        </w:rPr>
        <w:t>  (К</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К</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У</w:t>
      </w:r>
      <w:r w:rsidRPr="00922CF9">
        <w:rPr>
          <w:rFonts w:eastAsia="Times New Roman"/>
          <w:color w:val="000000"/>
          <w:sz w:val="28"/>
          <w:szCs w:val="28"/>
          <w:vertAlign w:val="subscript"/>
          <w:lang w:val="be-BY" w:eastAsia="be-BY"/>
        </w:rPr>
        <w:t>нск</w:t>
      </w:r>
      <w:r w:rsidRPr="00922CF9">
        <w:rPr>
          <w:rFonts w:eastAsia="Times New Roman"/>
          <w:color w:val="000000"/>
          <w:sz w:val="28"/>
          <w:szCs w:val="28"/>
          <w:lang w:val="be-BY" w:eastAsia="be-BY"/>
        </w:rPr>
        <w:t> – удельный вес критерия оценки из нестоимостной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К</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минимальное значение критерия оценки, определенное комиссией по государственным закупкам (далее – комиссия) на основании соответствующих сведений, содержащихся в предложениях участников, допущенных к оценке и сравнению предложений;</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К</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значение критерия оценки, определенное комиссией на основании соответствующих сведений, содержащихся в предложении i-го участника.</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В случае, если согласно конкурсным документам в качестве лучшего предложения участника предусматривается предложение, которое будет оценено в соответствии с критерием оценки из нестоимостной группы по его наибольшему значению, то количество баллов, присваиваемых предложению            i-го участника в соответствии с данным критерием оценки,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Pr>
          <w:rFonts w:eastAsia="Times New Roman"/>
          <w:color w:val="000000"/>
          <w:sz w:val="28"/>
          <w:szCs w:val="28"/>
          <w:lang w:val="be-BY" w:eastAsia="be-BY"/>
        </w:rPr>
        <w:tab/>
      </w: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НЦБ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У</w:t>
      </w:r>
      <w:r w:rsidRPr="00922CF9">
        <w:rPr>
          <w:rFonts w:eastAsia="Times New Roman"/>
          <w:color w:val="000000"/>
          <w:sz w:val="28"/>
          <w:szCs w:val="28"/>
          <w:vertAlign w:val="subscript"/>
          <w:lang w:val="be-BY" w:eastAsia="be-BY"/>
        </w:rPr>
        <w:t>нск</w:t>
      </w:r>
      <w:r w:rsidRPr="00922CF9">
        <w:rPr>
          <w:rFonts w:eastAsia="Times New Roman"/>
          <w:color w:val="000000"/>
          <w:sz w:val="28"/>
          <w:szCs w:val="28"/>
          <w:lang w:val="be-BY" w:eastAsia="be-BY"/>
        </w:rPr>
        <w:t>  (К</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К</w:t>
      </w:r>
      <w:r w:rsidRPr="00922CF9">
        <w:rPr>
          <w:rFonts w:eastAsia="Times New Roman"/>
          <w:color w:val="000000"/>
          <w:sz w:val="28"/>
          <w:szCs w:val="28"/>
          <w:vertAlign w:val="subscript"/>
          <w:lang w:val="be-BY" w:eastAsia="be-BY"/>
        </w:rPr>
        <w:t>max</w:t>
      </w:r>
      <w:r w:rsidRPr="00922CF9">
        <w:rPr>
          <w:rFonts w:eastAsia="Times New Roman"/>
          <w:color w:val="000000"/>
          <w:sz w:val="28"/>
          <w:szCs w:val="28"/>
          <w:lang w:val="be-BY" w:eastAsia="be-BY"/>
        </w:rPr>
        <w:t>),</w:t>
      </w:r>
    </w:p>
    <w:p w:rsidR="00922CF9" w:rsidRPr="00922CF9" w:rsidRDefault="00922CF9" w:rsidP="00922CF9">
      <w:pPr>
        <w:pStyle w:val="aa"/>
        <w:shd w:val="clear" w:color="auto" w:fill="FFFFFF"/>
        <w:spacing w:after="0" w:line="240" w:lineRule="auto"/>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К</w:t>
      </w:r>
      <w:r w:rsidRPr="00922CF9">
        <w:rPr>
          <w:rFonts w:eastAsia="Times New Roman"/>
          <w:color w:val="000000"/>
          <w:sz w:val="28"/>
          <w:szCs w:val="28"/>
          <w:vertAlign w:val="subscript"/>
          <w:lang w:val="be-BY" w:eastAsia="be-BY"/>
        </w:rPr>
        <w:t>max</w:t>
      </w:r>
      <w:r w:rsidRPr="00922CF9">
        <w:rPr>
          <w:rFonts w:eastAsia="Times New Roman"/>
          <w:color w:val="000000"/>
          <w:sz w:val="28"/>
          <w:szCs w:val="28"/>
          <w:lang w:val="be-BY" w:eastAsia="be-BY"/>
        </w:rPr>
        <w:t> – максимальное значение критерия оценки, определенное комиссией на основании соответствующих сведений, содержащихся в предложениях участников, допущенных к оценке и сравнению предложений.</w:t>
      </w:r>
    </w:p>
    <w:p w:rsidR="00547AEA" w:rsidRPr="008A2CF2" w:rsidRDefault="00547AEA" w:rsidP="008A2CF2">
      <w:pPr>
        <w:spacing w:after="0" w:line="240" w:lineRule="auto"/>
        <w:ind w:firstLine="709"/>
        <w:jc w:val="both"/>
        <w:rPr>
          <w:rFonts w:eastAsia="Times New Roman" w:cs="Times New Roman"/>
          <w:bCs/>
          <w:szCs w:val="30"/>
          <w:lang w:eastAsia="ru-RU"/>
        </w:rPr>
      </w:pPr>
      <w:r w:rsidRPr="00547AEA">
        <w:rPr>
          <w:rFonts w:eastAsia="Times New Roman" w:cs="Times New Roman"/>
          <w:bCs/>
          <w:szCs w:val="30"/>
          <w:lang w:eastAsia="ru-RU"/>
        </w:rPr>
        <w:lastRenderedPageBreak/>
        <w:t xml:space="preserve">Предложения участников (сметы) подлежат направлению </w:t>
      </w:r>
      <w:r w:rsidRPr="00547AEA">
        <w:rPr>
          <w:rFonts w:eastAsia="Times New Roman" w:cs="Times New Roman"/>
          <w:bCs/>
          <w:szCs w:val="30"/>
          <w:lang w:eastAsia="ru-RU"/>
        </w:rPr>
        <w:br/>
        <w:t>в инженерную организацию для проверки их соответствия утвержденному дефектному акту, а также проверке примененных расценок. При выявлении инженерной организацией несоответствий по результатам проверки предложений участников (смет) соответствующие предложения будут отклонены как не отвечающие требованиям конкурсных документов.</w:t>
      </w:r>
    </w:p>
    <w:bookmarkEnd w:id="7"/>
    <w:p w:rsidR="00257F61" w:rsidRDefault="00922CF9" w:rsidP="00257F61">
      <w:pPr>
        <w:pStyle w:val="newncpi"/>
        <w:ind w:firstLine="709"/>
        <w:rPr>
          <w:sz w:val="30"/>
          <w:szCs w:val="30"/>
        </w:rPr>
      </w:pPr>
      <w:r>
        <w:tab/>
        <w:t> </w:t>
      </w:r>
      <w:r w:rsidR="003451B9" w:rsidRPr="003451B9">
        <w:rPr>
          <w:b/>
          <w:bCs/>
          <w:sz w:val="30"/>
          <w:szCs w:val="30"/>
        </w:rPr>
        <w:t xml:space="preserve">VII. Порядок участия в процедуре государственной закупки субъектов малого и среднего предпринимательства: </w:t>
      </w:r>
      <w:r w:rsidR="00257F61" w:rsidRPr="00257F61">
        <w:rPr>
          <w:sz w:val="30"/>
          <w:szCs w:val="30"/>
        </w:rPr>
        <w:t>В соответствии с приложением № 3 Постановления Совета Министров Республики Беларусь от 15 июля 2019 г. № 395 О реализации Закона Республики Беларусь «О в</w:t>
      </w:r>
      <w:r w:rsidR="00257F61">
        <w:rPr>
          <w:sz w:val="30"/>
          <w:szCs w:val="30"/>
        </w:rPr>
        <w:t xml:space="preserve">несении изменений и дополнений </w:t>
      </w:r>
      <w:r w:rsidR="00257F61" w:rsidRPr="00257F61">
        <w:rPr>
          <w:sz w:val="30"/>
          <w:szCs w:val="30"/>
        </w:rPr>
        <w:t>в Закон Республики Беларусь «</w:t>
      </w:r>
      <w:r w:rsidR="006378C7" w:rsidRPr="00257F61">
        <w:rPr>
          <w:sz w:val="30"/>
          <w:szCs w:val="30"/>
        </w:rPr>
        <w:t>О государственных закупках</w:t>
      </w:r>
      <w:r w:rsidR="00257F61" w:rsidRPr="00257F61">
        <w:rPr>
          <w:sz w:val="30"/>
          <w:szCs w:val="30"/>
        </w:rPr>
        <w:t xml:space="preserve"> товаров (работ, услуг)».</w:t>
      </w:r>
    </w:p>
    <w:p w:rsidR="009E7EBC" w:rsidRPr="00257F61" w:rsidRDefault="009E7EBC" w:rsidP="00257F61">
      <w:pPr>
        <w:pStyle w:val="newncpi"/>
        <w:ind w:firstLine="709"/>
        <w:rPr>
          <w:b/>
          <w:bCs/>
          <w:sz w:val="30"/>
          <w:szCs w:val="30"/>
        </w:rPr>
      </w:pPr>
      <w:r w:rsidRPr="00257F61">
        <w:rPr>
          <w:b/>
          <w:bCs/>
          <w:sz w:val="30"/>
          <w:szCs w:val="30"/>
        </w:rPr>
        <w:t>VI</w:t>
      </w:r>
      <w:r w:rsidR="00C4783D" w:rsidRPr="00257F61">
        <w:rPr>
          <w:b/>
          <w:bCs/>
          <w:sz w:val="30"/>
          <w:szCs w:val="30"/>
          <w:lang w:val="en-US"/>
        </w:rPr>
        <w:t>II</w:t>
      </w:r>
      <w:r w:rsidRPr="00257F61">
        <w:rPr>
          <w:b/>
          <w:bCs/>
          <w:sz w:val="30"/>
          <w:szCs w:val="30"/>
        </w:rPr>
        <w:t>.</w:t>
      </w:r>
      <w:r w:rsidRPr="00257F61">
        <w:rPr>
          <w:b/>
          <w:bCs/>
          <w:sz w:val="30"/>
          <w:szCs w:val="30"/>
        </w:rPr>
        <w:tab/>
        <w:t>Акты законодательства о государственных закупках, в соответствии с которыми проводится процедура государственной закупки</w:t>
      </w:r>
      <w:r w:rsidR="00F97757" w:rsidRPr="00257F61">
        <w:rPr>
          <w:b/>
          <w:bCs/>
          <w:sz w:val="30"/>
          <w:szCs w:val="30"/>
        </w:rPr>
        <w:t>.</w:t>
      </w:r>
    </w:p>
    <w:p w:rsidR="003451B9" w:rsidRPr="003451B9" w:rsidRDefault="003451B9" w:rsidP="00257F61">
      <w:pPr>
        <w:spacing w:after="0" w:line="240" w:lineRule="auto"/>
        <w:ind w:firstLine="567"/>
        <w:jc w:val="both"/>
        <w:rPr>
          <w:rFonts w:eastAsia="Times New Roman" w:cs="Times New Roman"/>
          <w:szCs w:val="30"/>
          <w:lang w:eastAsia="ru-RU"/>
        </w:rPr>
      </w:pPr>
      <w:bookmarkStart w:id="8" w:name="_Hlk82450590"/>
      <w:r w:rsidRPr="003451B9">
        <w:rPr>
          <w:rFonts w:eastAsia="Times New Roman" w:cs="Times New Roman"/>
          <w:szCs w:val="30"/>
          <w:lang w:eastAsia="ru-RU"/>
        </w:rPr>
        <w:t>Настоящий открытый конкурс проводится в порядке, установленном Законом Республики Беларусь от 13 июля 2012 г.</w:t>
      </w:r>
      <w:r w:rsidR="0016542D">
        <w:rPr>
          <w:rFonts w:eastAsia="Times New Roman" w:cs="Times New Roman"/>
          <w:szCs w:val="30"/>
          <w:lang w:eastAsia="ru-RU"/>
        </w:rPr>
        <w:t xml:space="preserve"> </w:t>
      </w:r>
      <w:r w:rsidR="009E7CB2">
        <w:rPr>
          <w:rFonts w:eastAsia="Times New Roman" w:cs="Times New Roman"/>
          <w:szCs w:val="30"/>
          <w:lang w:eastAsia="ru-RU"/>
        </w:rPr>
        <w:br/>
      </w:r>
      <w:r w:rsidR="0016542D">
        <w:rPr>
          <w:rFonts w:eastAsia="Times New Roman" w:cs="Times New Roman"/>
          <w:szCs w:val="30"/>
          <w:lang w:eastAsia="ru-RU"/>
        </w:rPr>
        <w:t>419-З</w:t>
      </w:r>
      <w:r w:rsidRPr="003451B9">
        <w:rPr>
          <w:rFonts w:eastAsia="Times New Roman" w:cs="Times New Roman"/>
          <w:szCs w:val="30"/>
          <w:lang w:eastAsia="ru-RU"/>
        </w:rPr>
        <w:t xml:space="preserve"> «О государственных закупках товаров (работ, услуг)», постановлением Совета Министров Республики Беларусь от 15 июня 2019 г. № 395</w:t>
      </w:r>
      <w:r w:rsidR="0016542D">
        <w:rPr>
          <w:rFonts w:eastAsia="Times New Roman" w:cs="Times New Roman"/>
          <w:szCs w:val="30"/>
          <w:lang w:eastAsia="ru-RU"/>
        </w:rPr>
        <w:t>,</w:t>
      </w:r>
      <w:r w:rsidRPr="003451B9">
        <w:rPr>
          <w:rFonts w:eastAsia="Times New Roman" w:cs="Times New Roman"/>
          <w:szCs w:val="30"/>
          <w:lang w:eastAsia="ru-RU"/>
        </w:rPr>
        <w:t xml:space="preserve"> и иными нормативными правовыми актами, регулирующими деятельность в области </w:t>
      </w:r>
      <w:r w:rsidR="009E7CB2" w:rsidRPr="003451B9">
        <w:rPr>
          <w:rFonts w:eastAsia="Times New Roman" w:cs="Times New Roman"/>
          <w:szCs w:val="30"/>
          <w:lang w:eastAsia="ru-RU"/>
        </w:rPr>
        <w:t>строительства, в</w:t>
      </w:r>
      <w:r w:rsidRPr="003451B9">
        <w:rPr>
          <w:rFonts w:eastAsia="Times New Roman" w:cs="Times New Roman"/>
          <w:szCs w:val="30"/>
          <w:lang w:eastAsia="ru-RU"/>
        </w:rPr>
        <w:t xml:space="preserve"> части, не противоречащей нормативным актам, регулирующим порядок осуществления государственных закупок. </w:t>
      </w:r>
    </w:p>
    <w:bookmarkEnd w:id="8"/>
    <w:p w:rsidR="009E7EBC" w:rsidRPr="00ED6E51" w:rsidRDefault="00C4783D" w:rsidP="00ED6E51">
      <w:pPr>
        <w:spacing w:after="0" w:line="240" w:lineRule="auto"/>
        <w:ind w:firstLine="720"/>
        <w:jc w:val="both"/>
        <w:rPr>
          <w:b/>
          <w:bCs/>
        </w:rPr>
      </w:pPr>
      <w:r>
        <w:rPr>
          <w:b/>
          <w:bCs/>
          <w:lang w:val="en-US"/>
        </w:rPr>
        <w:t>IX</w:t>
      </w:r>
      <w:r w:rsidR="009E7EBC" w:rsidRPr="00ED6E51">
        <w:rPr>
          <w:b/>
          <w:bCs/>
        </w:rPr>
        <w:t>. Условия применения преференциальной поправки:</w:t>
      </w:r>
      <w:r w:rsidR="00F85D56">
        <w:rPr>
          <w:b/>
          <w:bCs/>
        </w:rPr>
        <w:t xml:space="preserve"> </w:t>
      </w:r>
    </w:p>
    <w:p w:rsidR="00257F61" w:rsidRPr="00257F61" w:rsidRDefault="00257F61" w:rsidP="00257F61">
      <w:pPr>
        <w:pStyle w:val="11"/>
        <w:spacing w:after="0"/>
        <w:ind w:firstLine="760"/>
        <w:jc w:val="both"/>
        <w:rPr>
          <w:b w:val="0"/>
          <w:bCs w:val="0"/>
          <w:color w:val="000000"/>
          <w:lang w:eastAsia="ru-RU"/>
        </w:rPr>
      </w:pPr>
      <w:bookmarkStart w:id="9" w:name="bookmark18"/>
      <w:bookmarkStart w:id="10" w:name="bookmark19"/>
      <w:bookmarkStart w:id="11" w:name="bookmark20"/>
      <w:r w:rsidRPr="00257F61">
        <w:rPr>
          <w:b w:val="0"/>
          <w:bCs w:val="0"/>
          <w:color w:val="000000"/>
          <w:lang w:eastAsia="ru-RU"/>
        </w:rPr>
        <w:t>К цене предложения участника применяется преференциальная поправка в размере:</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15 процентов - в случае предложения производимых участником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15 процентов – в случае предложения организациями Республики Беларусь, в которых численность инвалидов составляет не менее 50 процентов списочной численности работников, работ, услуг собственного производства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w:t>
      </w:r>
      <w:r w:rsidRPr="00257F61">
        <w:rPr>
          <w:b w:val="0"/>
          <w:bCs w:val="0"/>
          <w:color w:val="000000"/>
          <w:lang w:eastAsia="ru-RU"/>
        </w:rPr>
        <w:lastRenderedPageBreak/>
        <w:t>процентов;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15 процентов – в случае предложения учреждениями и предприятиями уголовно-исполнительной системы, лечебно-трудовыми профилакториями, лечебно-производственными мастерскими работ, услуг собственного производства;</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25 процентов – в случае предложения участником включенных в приложение 1-3 к постановлению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Исполнитель, к предложению которого применена преференциальная поправка, обязан оказать предусмотренную в договоре государственной закупки услугу лично. Он вправе привлечь к исполнению своих обязательств по договору государственной закупки: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физических лиц в количестве не более 15 процентов от списочной численности юридического лица на дату заключения договора;</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организаций Республики Беларусь, в которых численность инвалидов составляет не менее 50 процентов списочной численности работников, учреждений и предприятий уголовно-исполнительной системы, лечебно-трудовых профилакториев, лечебно-производственных мастерских.</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В случае допуска к торгам участников, имеющих право на применение преференциальной поправки: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начальная цена электронного аукциона устанавливается путем деления предельной стоимости предмета государственной закупки, определенной заказчиком (организатором) в аукционных документах, соответственно на 1,15 или 1,25;</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в ходе торгов для участников, имеющих право на преференциальную поправку, отображаются одновременно текущая ставка и соответствующая ей ставка, увеличенная на 15 или 25 процентов соответственно.</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В случае выбора победителем соответствующего участника договор государственной закупки заключается с ним по цене последней ставки данного участника, в том числе с учетом корректировки в соответствии с частью четвертой пункта 5 статьи 43 Закона Республики Беларусь от 13 </w:t>
      </w:r>
      <w:r w:rsidRPr="00257F61">
        <w:rPr>
          <w:b w:val="0"/>
          <w:bCs w:val="0"/>
          <w:color w:val="000000"/>
          <w:lang w:eastAsia="ru-RU"/>
        </w:rPr>
        <w:lastRenderedPageBreak/>
        <w:t>июля 2012 года № 419-З "О государственных закупках товаров (работ, услуг)", увеличенной соответственно на 15 или 25 процентов.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Участники, имеющие право на применение преференциальной поправки, должны в первом разделе своего предложения заявить о своем праве на применение преференциальной поправки, а также представить документы, подтверждающие право на применение преференциальной поправки. Заявление представляется по форме, установленной регламентом оператора электронной торговой площадки.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Документами, подтверждающими право на применение преференциальной поправки в размере 15 процентов, являются: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товаров, происходящих из Республики Беларусь, один из следующих документов: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обязательство о соблюдении при исполнении договора условий и критериев, предусмотренных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w:t>
      </w:r>
      <w:r w:rsidRPr="00257F61">
        <w:rPr>
          <w:b w:val="0"/>
          <w:bCs w:val="0"/>
          <w:color w:val="000000"/>
          <w:lang w:eastAsia="ru-RU"/>
        </w:rPr>
        <w:lastRenderedPageBreak/>
        <w:t>выданный Белорусской торгово-промышленной палатой или ее унитарными предприятиями, либо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имущественных прав на компьютерные программы, происходящие из Республики Беларусь, – свидетельство о регистрации компьютерной программы, выданное государственным учреждением «Национальный центр интеллектуальной собственности», или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 заявление о том, что участник является производителем предлагаемых им товаров,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для товаров, происходящих из государств - членов Евразийского экономического союза, за исключением происходящих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работ, услуг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в совокупности следующие документы:</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сертификат работ и услуг собственного производства, выданный Белорусской торгово-промышленной палатой или ее унитарными предприятиями, или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для работ, услуг собственного производства учреждений и </w:t>
      </w:r>
      <w:r w:rsidRPr="00257F61">
        <w:rPr>
          <w:b w:val="0"/>
          <w:bCs w:val="0"/>
          <w:color w:val="000000"/>
          <w:lang w:eastAsia="ru-RU"/>
        </w:rPr>
        <w:lastRenderedPageBreak/>
        <w:t>предприятий уголовно-исполнительной системы, лечебно-трудовых профилакториев, лечебно-производственных мастерских - сертификат работ и услуг собственного производства, выданный Белорусской торгово-промышленной палатой или ее унитарными предприятиями, или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Документами, подтверждающими право на применение преференциальной поправки в размере 25 процентов, являются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rsid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Преференциальная поправка не применяется в отношении части товаров (работ, услуг), являющихся предметом государственной закупки, в том числе его лотом (частью), а также в отношении товаров (работ, услуг), приобретаемых в соответствии с абзацем третьим пункта 4 статьи 21 Закона Республики Беларусь «О государственных закупках товаров (работ, </w:t>
      </w:r>
      <w:r w:rsidRPr="00257F61">
        <w:rPr>
          <w:b w:val="0"/>
        </w:rPr>
        <w:t>услуг)».</w:t>
      </w:r>
    </w:p>
    <w:p w:rsidR="009E7EBC" w:rsidRPr="002B051F" w:rsidRDefault="00C4783D" w:rsidP="00257F61">
      <w:pPr>
        <w:pStyle w:val="11"/>
        <w:spacing w:after="0"/>
        <w:ind w:firstLine="760"/>
        <w:jc w:val="both"/>
      </w:pPr>
      <w:r>
        <w:rPr>
          <w:color w:val="000000"/>
          <w:lang w:val="en-US"/>
        </w:rPr>
        <w:t>X</w:t>
      </w:r>
      <w:r w:rsidR="009E7EBC" w:rsidRPr="002B051F">
        <w:rPr>
          <w:color w:val="000000"/>
        </w:rPr>
        <w:t>. Требования к содержанию и форме предложения с учетом регламента оператора электронной торговой площадки</w:t>
      </w:r>
      <w:bookmarkEnd w:id="9"/>
      <w:bookmarkEnd w:id="10"/>
      <w:bookmarkEnd w:id="11"/>
    </w:p>
    <w:p w:rsidR="00257F61" w:rsidRDefault="00257F61" w:rsidP="00547AEA">
      <w:pPr>
        <w:pStyle w:val="a5"/>
        <w:ind w:firstLine="720"/>
        <w:jc w:val="both"/>
        <w:rPr>
          <w:rFonts w:cstheme="minorBidi"/>
          <w:b w:val="0"/>
          <w:bCs w:val="0"/>
          <w:color w:val="000000"/>
          <w:u w:val="none"/>
          <w:lang w:eastAsia="ru-RU"/>
        </w:rPr>
      </w:pPr>
      <w:r w:rsidRPr="00257F61">
        <w:rPr>
          <w:rFonts w:cstheme="minorBidi"/>
          <w:b w:val="0"/>
          <w:bCs w:val="0"/>
          <w:color w:val="000000"/>
          <w:u w:val="none"/>
          <w:lang w:eastAsia="ru-RU"/>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w:t>
      </w:r>
      <w:r>
        <w:rPr>
          <w:rFonts w:cstheme="minorBidi"/>
          <w:b w:val="0"/>
          <w:bCs w:val="0"/>
          <w:color w:val="000000"/>
          <w:u w:val="none"/>
          <w:lang w:eastAsia="ru-RU"/>
        </w:rPr>
        <w:t>одготовки и подачи предложений</w:t>
      </w:r>
      <w:r w:rsidRPr="00257F61">
        <w:rPr>
          <w:rFonts w:cstheme="minorBidi"/>
          <w:b w:val="0"/>
          <w:bCs w:val="0"/>
          <w:color w:val="000000"/>
          <w:u w:val="none"/>
          <w:lang w:eastAsia="ru-RU"/>
        </w:rPr>
        <w:t>, а также включать обоснование и расчет цены в виде сметы.</w:t>
      </w:r>
    </w:p>
    <w:p w:rsidR="009E7EBC" w:rsidRDefault="009E7EBC" w:rsidP="00257F61">
      <w:pPr>
        <w:pStyle w:val="a5"/>
        <w:ind w:firstLine="720"/>
        <w:rPr>
          <w:b w:val="0"/>
          <w:bCs w:val="0"/>
          <w:color w:val="000000"/>
          <w:u w:val="none"/>
        </w:rPr>
      </w:pPr>
      <w:r w:rsidRPr="00F97757">
        <w:rPr>
          <w:b w:val="0"/>
          <w:bCs w:val="0"/>
          <w:color w:val="000000"/>
          <w:u w:val="none"/>
        </w:rPr>
        <w:t>Предложение должно содержать следующие сведения:</w:t>
      </w:r>
    </w:p>
    <w:p w:rsidR="00387DD6" w:rsidRDefault="00387DD6" w:rsidP="00F97757">
      <w:pPr>
        <w:pStyle w:val="a5"/>
        <w:ind w:firstLine="720"/>
        <w:rPr>
          <w:b w:val="0"/>
          <w:bCs w:val="0"/>
          <w:color w:val="000000"/>
          <w:u w:val="none"/>
        </w:rPr>
      </w:pPr>
    </w:p>
    <w:tbl>
      <w:tblPr>
        <w:tblW w:w="4933" w:type="pct"/>
        <w:tblInd w:w="-1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
        <w:gridCol w:w="5948"/>
        <w:gridCol w:w="3402"/>
      </w:tblGrid>
      <w:tr w:rsidR="003451B9" w:rsidRPr="00061851" w:rsidTr="003451B9">
        <w:trPr>
          <w:trHeight w:val="238"/>
        </w:trPr>
        <w:tc>
          <w:tcPr>
            <w:tcW w:w="5000" w:type="pct"/>
            <w:gridSpan w:val="3"/>
            <w:tcBorders>
              <w:bottom w:val="single" w:sz="4" w:space="0" w:color="auto"/>
            </w:tcBorders>
            <w:tcMar>
              <w:top w:w="0" w:type="dxa"/>
              <w:left w:w="6" w:type="dxa"/>
              <w:bottom w:w="0" w:type="dxa"/>
              <w:right w:w="6" w:type="dxa"/>
            </w:tcMar>
            <w:hideMark/>
          </w:tcPr>
          <w:p w:rsidR="003451B9" w:rsidRPr="00061851" w:rsidRDefault="003451B9" w:rsidP="00171F09">
            <w:pPr>
              <w:pStyle w:val="table10"/>
              <w:jc w:val="center"/>
              <w:rPr>
                <w:sz w:val="24"/>
                <w:szCs w:val="24"/>
              </w:rPr>
            </w:pPr>
            <w:r>
              <w:t> </w:t>
            </w:r>
            <w:r w:rsidRPr="00061851">
              <w:rPr>
                <w:b/>
                <w:bCs/>
                <w:sz w:val="24"/>
                <w:szCs w:val="24"/>
              </w:rPr>
              <w:t>Сведения об открытом конкурсе</w:t>
            </w:r>
          </w:p>
        </w:tc>
      </w:tr>
      <w:tr w:rsidR="003451B9" w:rsidRPr="00061851" w:rsidTr="003451B9">
        <w:trPr>
          <w:trHeight w:val="238"/>
        </w:trPr>
        <w:tc>
          <w:tcPr>
            <w:tcW w:w="3183"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3451B9" w:rsidRPr="00061851" w:rsidRDefault="003451B9" w:rsidP="00171F09">
            <w:pPr>
              <w:pStyle w:val="table10"/>
              <w:rPr>
                <w:sz w:val="24"/>
                <w:szCs w:val="24"/>
              </w:rPr>
            </w:pPr>
            <w:r w:rsidRPr="00061851">
              <w:rPr>
                <w:sz w:val="24"/>
                <w:szCs w:val="24"/>
              </w:rPr>
              <w:t>Регистрационный номер процедуры государственной закупки, присвоенный электронной торговой площадкой</w:t>
            </w:r>
          </w:p>
        </w:tc>
        <w:tc>
          <w:tcPr>
            <w:tcW w:w="1817" w:type="pct"/>
            <w:tcBorders>
              <w:top w:val="single" w:sz="4" w:space="0" w:color="auto"/>
              <w:left w:val="single" w:sz="4" w:space="0" w:color="auto"/>
              <w:bottom w:val="single" w:sz="4" w:space="0" w:color="auto"/>
            </w:tcBorders>
            <w:tcMar>
              <w:top w:w="0" w:type="dxa"/>
              <w:left w:w="6" w:type="dxa"/>
              <w:bottom w:w="0" w:type="dxa"/>
              <w:right w:w="6" w:type="dxa"/>
            </w:tcMar>
            <w:hideMark/>
          </w:tcPr>
          <w:p w:rsidR="003451B9" w:rsidRPr="00061851" w:rsidRDefault="003451B9" w:rsidP="00171F09">
            <w:pPr>
              <w:pStyle w:val="table10"/>
              <w:rPr>
                <w:sz w:val="24"/>
                <w:szCs w:val="24"/>
              </w:rPr>
            </w:pPr>
            <w:r w:rsidRPr="00061851">
              <w:rPr>
                <w:sz w:val="24"/>
                <w:szCs w:val="24"/>
              </w:rPr>
              <w:t> </w:t>
            </w: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4994" w:type="pct"/>
            <w:gridSpan w:val="2"/>
            <w:tcBorders>
              <w:top w:val="single" w:sz="4" w:space="0" w:color="auto"/>
              <w:left w:val="single" w:sz="4" w:space="0" w:color="auto"/>
              <w:right w:val="single" w:sz="4" w:space="0" w:color="auto"/>
            </w:tcBorders>
            <w:shd w:val="clear" w:color="auto" w:fill="FFFFFF"/>
            <w:vAlign w:val="bottom"/>
          </w:tcPr>
          <w:p w:rsidR="009E7EBC" w:rsidRPr="00F97757" w:rsidRDefault="009E7EBC" w:rsidP="00F97757">
            <w:pPr>
              <w:pStyle w:val="a7"/>
              <w:ind w:firstLine="0"/>
              <w:jc w:val="center"/>
              <w:rPr>
                <w:sz w:val="26"/>
                <w:szCs w:val="26"/>
              </w:rPr>
            </w:pPr>
            <w:r w:rsidRPr="00F97757">
              <w:rPr>
                <w:b/>
                <w:bCs/>
                <w:color w:val="000000"/>
                <w:sz w:val="26"/>
                <w:szCs w:val="26"/>
              </w:rPr>
              <w:t>Сведения о предложении (частях (лотах) предложения)</w:t>
            </w: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Наименование предлагаемых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Описание предлагаемых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Страна происхождения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Объем (кол-во), ед. изм.</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Срок (сроки) поставки товаров (работ, оказания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rPr>
                <w:sz w:val="26"/>
                <w:szCs w:val="26"/>
              </w:rPr>
            </w:pPr>
            <w:r w:rsidRPr="00F97757">
              <w:rPr>
                <w:color w:val="000000"/>
                <w:sz w:val="26"/>
                <w:szCs w:val="26"/>
              </w:rPr>
              <w:lastRenderedPageBreak/>
              <w:t>Место поставки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 xml:space="preserve">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6E5F75">
              <w:rPr>
                <w:color w:val="000000"/>
                <w:sz w:val="26"/>
                <w:szCs w:val="26"/>
              </w:rPr>
              <w:t xml:space="preserve">конкурсными </w:t>
            </w:r>
            <w:r w:rsidRPr="00F97757">
              <w:rPr>
                <w:color w:val="000000"/>
                <w:sz w:val="26"/>
                <w:szCs w:val="26"/>
              </w:rPr>
              <w:t xml:space="preserve">документами </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rPr>
                <w:sz w:val="26"/>
                <w:szCs w:val="26"/>
              </w:rPr>
            </w:pPr>
            <w:r w:rsidRPr="00F97757">
              <w:rPr>
                <w:color w:val="000000"/>
                <w:sz w:val="26"/>
                <w:szCs w:val="26"/>
              </w:rPr>
              <w:t>Цена предложения (по части (лоту))</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Заявление о праве на применение преференциальной поправки, если участник заявляет о таком праве и ее применение установлено Советом Министров Республики Беларусь</w:t>
            </w:r>
          </w:p>
        </w:tc>
        <w:tc>
          <w:tcPr>
            <w:tcW w:w="1817" w:type="pct"/>
            <w:tcBorders>
              <w:top w:val="single" w:sz="4" w:space="0" w:color="auto"/>
              <w:left w:val="single" w:sz="4" w:space="0" w:color="auto"/>
              <w:right w:val="single" w:sz="4" w:space="0" w:color="auto"/>
            </w:tcBorders>
            <w:shd w:val="clear" w:color="auto" w:fill="FFFFFF"/>
            <w:vAlign w:val="center"/>
          </w:tcPr>
          <w:p w:rsidR="009E7EBC" w:rsidRPr="00F97757" w:rsidRDefault="009E7EBC" w:rsidP="00F97757">
            <w:pPr>
              <w:pStyle w:val="a7"/>
              <w:ind w:left="2920" w:firstLine="0"/>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Заявление о согласии участника в случае признанияего</w:t>
            </w:r>
            <w:r w:rsidRPr="00F97757">
              <w:rPr>
                <w:color w:val="000000"/>
                <w:sz w:val="26"/>
                <w:szCs w:val="26"/>
              </w:rPr>
              <w:tab/>
              <w:t>участником-</w:t>
            </w:r>
            <w:r w:rsidR="00CB5A3B" w:rsidRPr="00F97757">
              <w:rPr>
                <w:color w:val="000000"/>
                <w:sz w:val="26"/>
                <w:szCs w:val="26"/>
              </w:rPr>
              <w:t>победителем</w:t>
            </w:r>
            <w:r w:rsidRPr="00F97757">
              <w:rPr>
                <w:color w:val="000000"/>
                <w:sz w:val="26"/>
                <w:szCs w:val="26"/>
              </w:rPr>
              <w:t>заключить договор на условиях, указанных в</w:t>
            </w:r>
            <w:r w:rsidR="006E5F75">
              <w:rPr>
                <w:color w:val="000000"/>
                <w:sz w:val="26"/>
                <w:szCs w:val="26"/>
              </w:rPr>
              <w:t xml:space="preserve"> конкурсных</w:t>
            </w:r>
            <w:r w:rsidRPr="00F97757">
              <w:rPr>
                <w:color w:val="000000"/>
                <w:sz w:val="26"/>
                <w:szCs w:val="26"/>
              </w:rPr>
              <w:t xml:space="preserve"> документах, его предложении и протоколе выбора участника-победителя</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AB7C8A" w:rsidRPr="00F97757" w:rsidRDefault="009E7EBC" w:rsidP="0016542D">
            <w:pPr>
              <w:pStyle w:val="a7"/>
              <w:ind w:firstLine="0"/>
              <w:jc w:val="both"/>
              <w:rPr>
                <w:sz w:val="26"/>
                <w:szCs w:val="26"/>
              </w:rPr>
            </w:pPr>
            <w:r w:rsidRPr="00F97757">
              <w:rPr>
                <w:color w:val="000000"/>
                <w:sz w:val="26"/>
                <w:szCs w:val="26"/>
              </w:rPr>
              <w:t>Заявление о согласии участника на размещение в открытом доступе его предложения</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right"/>
              <w:rPr>
                <w:sz w:val="26"/>
                <w:szCs w:val="26"/>
              </w:rPr>
            </w:pPr>
            <w:r w:rsidRPr="00F97757">
              <w:rPr>
                <w:b/>
                <w:bCs/>
                <w:color w:val="000000"/>
                <w:sz w:val="26"/>
                <w:szCs w:val="26"/>
              </w:rPr>
              <w:t>Сведения об</w:t>
            </w:r>
          </w:p>
        </w:tc>
        <w:tc>
          <w:tcPr>
            <w:tcW w:w="1817" w:type="pct"/>
            <w:tcBorders>
              <w:top w:val="single" w:sz="4" w:space="0" w:color="auto"/>
              <w:right w:val="single" w:sz="4" w:space="0" w:color="auto"/>
            </w:tcBorders>
            <w:shd w:val="clear" w:color="auto" w:fill="FFFFFF"/>
            <w:vAlign w:val="bottom"/>
          </w:tcPr>
          <w:p w:rsidR="009E7EBC" w:rsidRPr="00F97757" w:rsidRDefault="009E7EBC" w:rsidP="00F97757">
            <w:pPr>
              <w:pStyle w:val="a7"/>
              <w:ind w:firstLine="0"/>
              <w:rPr>
                <w:sz w:val="26"/>
                <w:szCs w:val="26"/>
              </w:rPr>
            </w:pPr>
            <w:r w:rsidRPr="00F97757">
              <w:rPr>
                <w:b/>
                <w:bCs/>
                <w:color w:val="000000"/>
                <w:sz w:val="26"/>
                <w:szCs w:val="26"/>
              </w:rPr>
              <w:t>участнике</w:t>
            </w: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Default="009E7EBC" w:rsidP="00F97757">
            <w:pPr>
              <w:pStyle w:val="a7"/>
              <w:ind w:firstLine="0"/>
              <w:jc w:val="both"/>
              <w:rPr>
                <w:color w:val="000000"/>
                <w:sz w:val="26"/>
                <w:szCs w:val="26"/>
              </w:rPr>
            </w:pPr>
            <w:r w:rsidRPr="00F97757">
              <w:rPr>
                <w:color w:val="000000"/>
                <w:sz w:val="26"/>
                <w:szCs w:val="26"/>
              </w:rPr>
              <w:t>Место нахождения (для юридического лица)</w:t>
            </w:r>
          </w:p>
          <w:p w:rsidR="00BF35FA" w:rsidRPr="00F97757" w:rsidRDefault="00BF35FA" w:rsidP="00F97757">
            <w:pPr>
              <w:pStyle w:val="a7"/>
              <w:ind w:firstLine="0"/>
              <w:jc w:val="both"/>
              <w:rPr>
                <w:sz w:val="26"/>
                <w:szCs w:val="26"/>
              </w:rPr>
            </w:pP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Pr="00F97757" w:rsidRDefault="009E7EBC" w:rsidP="00F97757">
            <w:pPr>
              <w:pStyle w:val="a7"/>
              <w:ind w:firstLine="0"/>
              <w:jc w:val="both"/>
              <w:rPr>
                <w:color w:val="000000"/>
                <w:sz w:val="26"/>
                <w:szCs w:val="26"/>
              </w:rPr>
            </w:pPr>
            <w:r w:rsidRPr="00F97757">
              <w:rPr>
                <w:color w:val="000000"/>
                <w:sz w:val="26"/>
                <w:szCs w:val="26"/>
              </w:rPr>
              <w:t>либо место жительства (для физического лица, в том числе индивидуального предпринимателя)</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Pr="00F97757" w:rsidRDefault="009E7EBC" w:rsidP="00F97757">
            <w:pPr>
              <w:pStyle w:val="a7"/>
              <w:ind w:firstLine="0"/>
              <w:jc w:val="both"/>
              <w:rPr>
                <w:color w:val="000000"/>
                <w:sz w:val="26"/>
                <w:szCs w:val="26"/>
              </w:rPr>
            </w:pPr>
            <w:r w:rsidRPr="00F97757">
              <w:rPr>
                <w:color w:val="000000"/>
                <w:sz w:val="26"/>
                <w:szCs w:val="26"/>
              </w:rPr>
              <w:t>Учетный номер плательщика (для юридическою лица, индивидуального предпринимателя)</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Default="009E7EBC" w:rsidP="00F97757">
            <w:pPr>
              <w:pStyle w:val="a7"/>
              <w:ind w:firstLine="0"/>
              <w:jc w:val="both"/>
              <w:rPr>
                <w:color w:val="000000"/>
                <w:sz w:val="26"/>
                <w:szCs w:val="26"/>
              </w:rPr>
            </w:pPr>
            <w:r w:rsidRPr="00F97757">
              <w:rPr>
                <w:color w:val="000000"/>
                <w:sz w:val="26"/>
                <w:szCs w:val="26"/>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p w:rsidR="002B051F" w:rsidRPr="00F97757" w:rsidRDefault="002B051F" w:rsidP="00F97757">
            <w:pPr>
              <w:pStyle w:val="a7"/>
              <w:ind w:firstLine="0"/>
              <w:jc w:val="both"/>
              <w:rPr>
                <w:color w:val="000000"/>
                <w:sz w:val="26"/>
                <w:szCs w:val="26"/>
              </w:rPr>
            </w:pP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Pr="00F97757" w:rsidRDefault="009E7EBC" w:rsidP="00F97757">
            <w:pPr>
              <w:pStyle w:val="a7"/>
              <w:ind w:firstLine="0"/>
              <w:jc w:val="both"/>
              <w:rPr>
                <w:color w:val="000000"/>
                <w:sz w:val="26"/>
                <w:szCs w:val="26"/>
              </w:rPr>
            </w:pPr>
            <w:r w:rsidRPr="00F97757">
              <w:rPr>
                <w:color w:val="000000"/>
                <w:sz w:val="26"/>
                <w:szCs w:val="26"/>
              </w:rPr>
              <w:t xml:space="preserve">Наименование документа (ов): подтверждающих соответствие требованиям к участникам, установленным согласно пункту 2 статьи 16 Закона Республики Беларусь от 13 июля 2012 г. № 419-3 «О государственных закупках товаров (работ, услуг)»; подтверждающих право на применение преференциальной поправки; предоставление которых установлено </w:t>
            </w:r>
            <w:r w:rsidR="003451B9">
              <w:rPr>
                <w:color w:val="000000"/>
                <w:sz w:val="26"/>
                <w:szCs w:val="26"/>
              </w:rPr>
              <w:t>конкурсными документами</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bl>
    <w:p w:rsidR="009E7CB2" w:rsidRDefault="009E7CB2" w:rsidP="009E7EBC">
      <w:pPr>
        <w:pStyle w:val="a7"/>
        <w:ind w:firstLine="680"/>
        <w:rPr>
          <w:b/>
          <w:bCs/>
          <w:color w:val="000000"/>
        </w:rPr>
      </w:pPr>
    </w:p>
    <w:p w:rsidR="009E7CB2" w:rsidRDefault="009E7CB2">
      <w:pPr>
        <w:rPr>
          <w:rFonts w:eastAsia="Times New Roman" w:cs="Times New Roman"/>
          <w:b/>
          <w:bCs/>
          <w:color w:val="000000"/>
          <w:szCs w:val="30"/>
        </w:rPr>
      </w:pPr>
      <w:r>
        <w:rPr>
          <w:b/>
          <w:bCs/>
          <w:color w:val="000000"/>
        </w:rPr>
        <w:br w:type="page"/>
      </w:r>
    </w:p>
    <w:p w:rsidR="00114DC9" w:rsidRDefault="00114DC9" w:rsidP="009E7EBC">
      <w:pPr>
        <w:pStyle w:val="a7"/>
        <w:ind w:firstLine="680"/>
        <w:rPr>
          <w:b/>
          <w:bCs/>
          <w:color w:val="000000"/>
        </w:rPr>
      </w:pPr>
    </w:p>
    <w:p w:rsidR="009E7EBC" w:rsidRDefault="00C4783D" w:rsidP="009E7EBC">
      <w:pPr>
        <w:pStyle w:val="a7"/>
        <w:ind w:firstLine="680"/>
      </w:pPr>
      <w:r>
        <w:rPr>
          <w:b/>
          <w:bCs/>
          <w:color w:val="000000"/>
          <w:lang w:val="en-US"/>
        </w:rPr>
        <w:t>XI</w:t>
      </w:r>
      <w:r w:rsidR="009E7EBC">
        <w:rPr>
          <w:b/>
          <w:bCs/>
          <w:color w:val="000000"/>
        </w:rPr>
        <w:t>. Договор</w:t>
      </w:r>
    </w:p>
    <w:p w:rsidR="00443FB0" w:rsidRPr="00547AEA" w:rsidRDefault="00443FB0" w:rsidP="00443FB0">
      <w:pPr>
        <w:spacing w:after="0" w:line="240" w:lineRule="auto"/>
        <w:ind w:firstLine="567"/>
        <w:jc w:val="both"/>
        <w:rPr>
          <w:rFonts w:eastAsia="Times New Roman" w:cs="Times New Roman"/>
          <w:szCs w:val="30"/>
          <w:lang w:eastAsia="ru-RU"/>
        </w:rPr>
      </w:pPr>
      <w:r w:rsidRPr="00547AEA">
        <w:rPr>
          <w:rFonts w:eastAsia="Times New Roman" w:cs="Times New Roman"/>
          <w:szCs w:val="30"/>
          <w:lang w:eastAsia="ru-RU"/>
        </w:rPr>
        <w:t xml:space="preserve">Неотъемлемой частью настоящих конкурсных документов является проект договора, разработанный заказчиком в соответствии с требованиями законодательства и особенностями предмета закупки. </w:t>
      </w:r>
    </w:p>
    <w:p w:rsidR="00443FB0" w:rsidRPr="00547AEA" w:rsidRDefault="00443FB0" w:rsidP="00443FB0">
      <w:pPr>
        <w:spacing w:after="0" w:line="240" w:lineRule="auto"/>
        <w:ind w:firstLine="567"/>
        <w:jc w:val="both"/>
        <w:rPr>
          <w:rFonts w:eastAsia="Times New Roman" w:cs="Times New Roman"/>
          <w:szCs w:val="30"/>
          <w:lang w:val="be-BY" w:eastAsia="ru-RU"/>
        </w:rPr>
      </w:pPr>
      <w:r w:rsidRPr="00547AEA">
        <w:rPr>
          <w:rFonts w:eastAsia="Times New Roman" w:cs="Times New Roman"/>
          <w:szCs w:val="30"/>
          <w:lang w:eastAsia="ru-RU"/>
        </w:rPr>
        <w:t>Проект договора содержит неизменяемую часть и графы (разделы), которые будут заполняться сведениями из предложения участника-победителя и протокола выбора участника-победителя.</w:t>
      </w:r>
    </w:p>
    <w:p w:rsidR="00443FB0" w:rsidRPr="00547AEA" w:rsidRDefault="00443FB0" w:rsidP="00443FB0">
      <w:pPr>
        <w:spacing w:after="0" w:line="240" w:lineRule="auto"/>
        <w:ind w:firstLine="567"/>
        <w:jc w:val="both"/>
        <w:rPr>
          <w:rFonts w:eastAsia="Times New Roman" w:cs="Times New Roman"/>
          <w:szCs w:val="30"/>
          <w:lang w:val="be-BY" w:eastAsia="ru-RU"/>
        </w:rPr>
      </w:pPr>
      <w:r w:rsidRPr="00547AEA">
        <w:rPr>
          <w:rFonts w:eastAsia="Times New Roman" w:cs="Times New Roman"/>
          <w:szCs w:val="30"/>
          <w:lang w:val="be-BY" w:eastAsia="ru-RU"/>
        </w:rPr>
        <w:t xml:space="preserve">Договор подлежит заключению по истечению срока для обжалования, установленного абзацем третьим пункта 2 статьи 52 Закона Республики Беларусь № 419-З, но не позднее  </w:t>
      </w:r>
      <w:r w:rsidR="00114DC9" w:rsidRPr="00547AEA">
        <w:rPr>
          <w:rFonts w:eastAsia="Times New Roman" w:cs="Times New Roman"/>
          <w:szCs w:val="30"/>
          <w:lang w:val="be-BY" w:eastAsia="ru-RU"/>
        </w:rPr>
        <w:t>3</w:t>
      </w:r>
      <w:r w:rsidRPr="00547AEA">
        <w:rPr>
          <w:rFonts w:eastAsia="Times New Roman" w:cs="Times New Roman"/>
          <w:szCs w:val="30"/>
          <w:lang w:val="be-BY" w:eastAsia="ru-RU"/>
        </w:rPr>
        <w:t>0 календарных дней со дня принятия решения о выборе участника-победителя.</w:t>
      </w:r>
    </w:p>
    <w:p w:rsidR="009E7EBC" w:rsidRPr="00443FB0" w:rsidRDefault="009E7EBC" w:rsidP="009E7EBC">
      <w:pPr>
        <w:spacing w:after="0" w:line="240" w:lineRule="auto"/>
        <w:jc w:val="both"/>
        <w:rPr>
          <w:lang w:val="be-BY"/>
        </w:rPr>
      </w:pPr>
    </w:p>
    <w:p w:rsidR="00AF2C27" w:rsidRPr="00AF2C27" w:rsidRDefault="00AF2C27" w:rsidP="00AF2C27">
      <w:pPr>
        <w:spacing w:after="0" w:line="240" w:lineRule="auto"/>
        <w:jc w:val="both"/>
      </w:pPr>
      <w:r w:rsidRPr="00AF2C27">
        <w:t>Заместитель командира части по тылу</w:t>
      </w:r>
    </w:p>
    <w:p w:rsidR="00AF2C27" w:rsidRPr="00AF2C27" w:rsidRDefault="00183077" w:rsidP="00AF2C27">
      <w:pPr>
        <w:spacing w:after="0" w:line="240" w:lineRule="auto"/>
        <w:jc w:val="both"/>
      </w:pPr>
      <w:r>
        <w:t>подполковник</w:t>
      </w:r>
      <w:r w:rsidR="00AF2C27" w:rsidRPr="00AF2C27">
        <w:tab/>
      </w:r>
      <w:r w:rsidR="00AF2C27" w:rsidRPr="00AF2C27">
        <w:tab/>
      </w:r>
      <w:r w:rsidR="00AF2C27" w:rsidRPr="00AF2C27">
        <w:tab/>
      </w:r>
      <w:r w:rsidR="00AF2C27" w:rsidRPr="00AF2C27">
        <w:tab/>
      </w:r>
      <w:r w:rsidR="00AF2C27" w:rsidRPr="00AF2C27">
        <w:tab/>
        <w:t>Д.Н.Сядура</w:t>
      </w:r>
    </w:p>
    <w:p w:rsidR="00AF2C27" w:rsidRPr="00AF2C27" w:rsidRDefault="00AF2C27" w:rsidP="00AF2C27">
      <w:pPr>
        <w:spacing w:after="0" w:line="240" w:lineRule="auto"/>
        <w:jc w:val="both"/>
      </w:pPr>
      <w:r w:rsidRPr="00AF2C27">
        <w:t xml:space="preserve"> ___. ____.20</w:t>
      </w:r>
      <w:r w:rsidR="00BC7F1D">
        <w:t>2</w:t>
      </w:r>
      <w:r w:rsidR="00B03830">
        <w:t>6</w:t>
      </w:r>
      <w:r w:rsidRPr="00AF2C27">
        <w:t>г.</w:t>
      </w:r>
    </w:p>
    <w:p w:rsidR="00AF2C27" w:rsidRPr="00AF2C27" w:rsidRDefault="00AF2C27" w:rsidP="00AF2C27">
      <w:pPr>
        <w:spacing w:after="0" w:line="240" w:lineRule="auto"/>
        <w:jc w:val="both"/>
      </w:pPr>
      <w:r w:rsidRPr="00AF2C27">
        <w:t>СОГЛАСОВАНО</w:t>
      </w:r>
    </w:p>
    <w:p w:rsidR="00AF2C27" w:rsidRPr="00AF2C27" w:rsidRDefault="00AF2C27" w:rsidP="00AF2C27">
      <w:pPr>
        <w:spacing w:after="0" w:line="240" w:lineRule="auto"/>
        <w:jc w:val="both"/>
      </w:pPr>
      <w:r w:rsidRPr="00AF2C27">
        <w:t>Начальник финансово</w:t>
      </w:r>
      <w:r w:rsidR="00183077">
        <w:t>й</w:t>
      </w:r>
      <w:r w:rsidRPr="00AF2C27">
        <w:t xml:space="preserve"> </w:t>
      </w:r>
      <w:r w:rsidR="00183077">
        <w:t>службы</w:t>
      </w:r>
      <w:r w:rsidRPr="00AF2C27">
        <w:tab/>
      </w:r>
      <w:r w:rsidRPr="00AF2C27">
        <w:tab/>
      </w:r>
    </w:p>
    <w:p w:rsidR="00AF2C27" w:rsidRPr="00AF2C27" w:rsidRDefault="00BF35FA" w:rsidP="00AF2C27">
      <w:pPr>
        <w:spacing w:after="0" w:line="240" w:lineRule="auto"/>
        <w:jc w:val="both"/>
      </w:pPr>
      <w:r>
        <w:t>______________________________________________________</w:t>
      </w:r>
      <w:r w:rsidR="00AF2C27" w:rsidRPr="00AF2C27">
        <w:tab/>
      </w:r>
    </w:p>
    <w:p w:rsidR="00AF2C27" w:rsidRPr="00AF2C27" w:rsidRDefault="00AF2C27" w:rsidP="00AF2C27">
      <w:pPr>
        <w:spacing w:after="0" w:line="240" w:lineRule="auto"/>
        <w:jc w:val="both"/>
      </w:pPr>
      <w:r w:rsidRPr="00AF2C27">
        <w:t>___.       .20</w:t>
      </w:r>
      <w:r w:rsidR="00BC7F1D">
        <w:t>2</w:t>
      </w:r>
      <w:r w:rsidR="00B03830">
        <w:t>6</w:t>
      </w:r>
      <w:r w:rsidRPr="00AF2C27">
        <w:t>г.</w:t>
      </w:r>
      <w:r w:rsidRPr="00AF2C27">
        <w:tab/>
      </w:r>
      <w:r w:rsidRPr="00AF2C27">
        <w:tab/>
      </w:r>
      <w:r w:rsidRPr="00AF2C27">
        <w:tab/>
      </w:r>
      <w:r w:rsidRPr="00AF2C27">
        <w:tab/>
      </w:r>
      <w:r w:rsidRPr="00AF2C27">
        <w:tab/>
      </w:r>
    </w:p>
    <w:p w:rsidR="00BC7F1D" w:rsidRPr="00AF2C27" w:rsidRDefault="00BC7F1D" w:rsidP="00BC7F1D">
      <w:pPr>
        <w:spacing w:after="0" w:line="240" w:lineRule="auto"/>
        <w:jc w:val="both"/>
      </w:pPr>
      <w:r w:rsidRPr="00AF2C27">
        <w:t>СОГЛАСОВАНО</w:t>
      </w:r>
    </w:p>
    <w:p w:rsidR="00BC7F1D" w:rsidRPr="00AF2C27" w:rsidRDefault="00BC7F1D" w:rsidP="00BC7F1D">
      <w:pPr>
        <w:spacing w:after="0" w:line="240" w:lineRule="auto"/>
        <w:jc w:val="both"/>
      </w:pPr>
      <w:r w:rsidRPr="00AF2C27">
        <w:t xml:space="preserve">Начальник </w:t>
      </w:r>
      <w:r>
        <w:t>юридической службы</w:t>
      </w:r>
      <w:r w:rsidRPr="00AF2C27">
        <w:tab/>
      </w:r>
      <w:r w:rsidRPr="00AF2C27">
        <w:tab/>
      </w:r>
    </w:p>
    <w:p w:rsidR="00BC7F1D" w:rsidRPr="00AF2C27" w:rsidRDefault="00BC7F1D" w:rsidP="00BC7F1D">
      <w:pPr>
        <w:spacing w:after="0" w:line="240" w:lineRule="auto"/>
        <w:jc w:val="both"/>
      </w:pPr>
      <w:r>
        <w:t>______________________________________________________</w:t>
      </w:r>
      <w:r w:rsidRPr="00AF2C27">
        <w:tab/>
      </w:r>
    </w:p>
    <w:p w:rsidR="00BC7F1D" w:rsidRPr="00AF2C27" w:rsidRDefault="00BC7F1D" w:rsidP="00BC7F1D">
      <w:pPr>
        <w:spacing w:after="0" w:line="240" w:lineRule="auto"/>
        <w:jc w:val="both"/>
      </w:pPr>
      <w:r w:rsidRPr="00AF2C27">
        <w:t>___.       .20</w:t>
      </w:r>
      <w:r>
        <w:t>2</w:t>
      </w:r>
      <w:r w:rsidR="00B03830">
        <w:t>6</w:t>
      </w:r>
      <w:r w:rsidRPr="00AF2C27">
        <w:t>г.</w:t>
      </w:r>
      <w:r w:rsidRPr="00AF2C27">
        <w:tab/>
      </w:r>
      <w:r w:rsidRPr="00AF2C27">
        <w:tab/>
      </w:r>
      <w:r w:rsidRPr="00AF2C27">
        <w:tab/>
      </w:r>
      <w:r w:rsidRPr="00AF2C27">
        <w:tab/>
      </w:r>
      <w:r w:rsidRPr="00AF2C27">
        <w:tab/>
      </w:r>
    </w:p>
    <w:p w:rsidR="0038672F" w:rsidRDefault="0038672F" w:rsidP="00F97757">
      <w:pPr>
        <w:spacing w:after="0" w:line="240" w:lineRule="auto"/>
        <w:jc w:val="both"/>
      </w:pPr>
    </w:p>
    <w:sectPr w:rsidR="0038672F" w:rsidSect="00387DD6">
      <w:pgSz w:w="11906" w:h="16838"/>
      <w:pgMar w:top="1135" w:right="707"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FA1"/>
    <w:multiLevelType w:val="multilevel"/>
    <w:tmpl w:val="44749B8E"/>
    <w:lvl w:ilvl="0">
      <w:start w:val="4"/>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CAD2F68"/>
    <w:multiLevelType w:val="multilevel"/>
    <w:tmpl w:val="C9D0C5B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820400"/>
    <w:multiLevelType w:val="multilevel"/>
    <w:tmpl w:val="479E0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AE"/>
    <w:rsid w:val="00017305"/>
    <w:rsid w:val="00033850"/>
    <w:rsid w:val="00042F42"/>
    <w:rsid w:val="00114DC9"/>
    <w:rsid w:val="00130F32"/>
    <w:rsid w:val="00136161"/>
    <w:rsid w:val="00151069"/>
    <w:rsid w:val="0016542D"/>
    <w:rsid w:val="00183077"/>
    <w:rsid w:val="00197634"/>
    <w:rsid w:val="0019769D"/>
    <w:rsid w:val="001A0AC8"/>
    <w:rsid w:val="001C288C"/>
    <w:rsid w:val="002054BC"/>
    <w:rsid w:val="002201E2"/>
    <w:rsid w:val="00221F3C"/>
    <w:rsid w:val="002266B3"/>
    <w:rsid w:val="002362EE"/>
    <w:rsid w:val="00257F61"/>
    <w:rsid w:val="00283C6F"/>
    <w:rsid w:val="002B051F"/>
    <w:rsid w:val="002D22B0"/>
    <w:rsid w:val="003451B9"/>
    <w:rsid w:val="00352B55"/>
    <w:rsid w:val="0038183F"/>
    <w:rsid w:val="0038672F"/>
    <w:rsid w:val="00387DD6"/>
    <w:rsid w:val="003C38B8"/>
    <w:rsid w:val="003E1BE5"/>
    <w:rsid w:val="00443FB0"/>
    <w:rsid w:val="0045036E"/>
    <w:rsid w:val="0045204D"/>
    <w:rsid w:val="004C6B4C"/>
    <w:rsid w:val="005063A4"/>
    <w:rsid w:val="00547AEA"/>
    <w:rsid w:val="0056005F"/>
    <w:rsid w:val="006310EA"/>
    <w:rsid w:val="006378C7"/>
    <w:rsid w:val="0069795B"/>
    <w:rsid w:val="006A7551"/>
    <w:rsid w:val="006B5E6A"/>
    <w:rsid w:val="006D7A16"/>
    <w:rsid w:val="006E5F75"/>
    <w:rsid w:val="006E68F6"/>
    <w:rsid w:val="00726D29"/>
    <w:rsid w:val="00757DAE"/>
    <w:rsid w:val="00786C99"/>
    <w:rsid w:val="007900A4"/>
    <w:rsid w:val="007C6385"/>
    <w:rsid w:val="00813025"/>
    <w:rsid w:val="008348E2"/>
    <w:rsid w:val="00836F59"/>
    <w:rsid w:val="0087677C"/>
    <w:rsid w:val="008813D1"/>
    <w:rsid w:val="008A29A1"/>
    <w:rsid w:val="008A2CF2"/>
    <w:rsid w:val="008C7D6B"/>
    <w:rsid w:val="008D104C"/>
    <w:rsid w:val="008D35A9"/>
    <w:rsid w:val="008E4454"/>
    <w:rsid w:val="008F5E79"/>
    <w:rsid w:val="008F6F60"/>
    <w:rsid w:val="00922CF9"/>
    <w:rsid w:val="00933CAE"/>
    <w:rsid w:val="0095694E"/>
    <w:rsid w:val="009E7CB2"/>
    <w:rsid w:val="009E7EBC"/>
    <w:rsid w:val="00A131C6"/>
    <w:rsid w:val="00A84B59"/>
    <w:rsid w:val="00A97DCC"/>
    <w:rsid w:val="00AA2CFA"/>
    <w:rsid w:val="00AA316A"/>
    <w:rsid w:val="00AB7C8A"/>
    <w:rsid w:val="00AD121B"/>
    <w:rsid w:val="00AF2C27"/>
    <w:rsid w:val="00B03830"/>
    <w:rsid w:val="00B0505E"/>
    <w:rsid w:val="00B547C3"/>
    <w:rsid w:val="00BB49F5"/>
    <w:rsid w:val="00BC7F1D"/>
    <w:rsid w:val="00BD1891"/>
    <w:rsid w:val="00BF35FA"/>
    <w:rsid w:val="00BF6F13"/>
    <w:rsid w:val="00C1021A"/>
    <w:rsid w:val="00C4783D"/>
    <w:rsid w:val="00CB5A3B"/>
    <w:rsid w:val="00CF4ABE"/>
    <w:rsid w:val="00D03FD3"/>
    <w:rsid w:val="00DA3958"/>
    <w:rsid w:val="00DA5321"/>
    <w:rsid w:val="00DC2D8C"/>
    <w:rsid w:val="00DC7DC1"/>
    <w:rsid w:val="00DE2C1B"/>
    <w:rsid w:val="00E0568F"/>
    <w:rsid w:val="00E31593"/>
    <w:rsid w:val="00E424B6"/>
    <w:rsid w:val="00E436E5"/>
    <w:rsid w:val="00E92D79"/>
    <w:rsid w:val="00EA74D7"/>
    <w:rsid w:val="00ED6E51"/>
    <w:rsid w:val="00ED7560"/>
    <w:rsid w:val="00EE37F1"/>
    <w:rsid w:val="00F12C9F"/>
    <w:rsid w:val="00F85D56"/>
    <w:rsid w:val="00F97757"/>
    <w:rsid w:val="00FC5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DE6C"/>
  <w15:docId w15:val="{40C7644A-6632-48AF-8A3F-4016980C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33CAE"/>
    <w:rPr>
      <w:rFonts w:eastAsia="Times New Roman" w:cs="Times New Roman"/>
      <w:szCs w:val="30"/>
    </w:rPr>
  </w:style>
  <w:style w:type="paragraph" w:customStyle="1" w:styleId="1">
    <w:name w:val="Основной текст1"/>
    <w:basedOn w:val="a"/>
    <w:link w:val="a3"/>
    <w:rsid w:val="00933CAE"/>
    <w:pPr>
      <w:widowControl w:val="0"/>
      <w:spacing w:after="0" w:line="240" w:lineRule="auto"/>
      <w:ind w:firstLine="400"/>
    </w:pPr>
    <w:rPr>
      <w:rFonts w:eastAsia="Times New Roman" w:cs="Times New Roman"/>
      <w:szCs w:val="30"/>
    </w:rPr>
  </w:style>
  <w:style w:type="character" w:customStyle="1" w:styleId="a4">
    <w:name w:val="Подпись к таблице_"/>
    <w:basedOn w:val="a0"/>
    <w:link w:val="a5"/>
    <w:rsid w:val="00933CAE"/>
    <w:rPr>
      <w:rFonts w:eastAsia="Times New Roman" w:cs="Times New Roman"/>
      <w:b/>
      <w:bCs/>
      <w:szCs w:val="30"/>
      <w:u w:val="single"/>
    </w:rPr>
  </w:style>
  <w:style w:type="paragraph" w:customStyle="1" w:styleId="a5">
    <w:name w:val="Подпись к таблице"/>
    <w:basedOn w:val="a"/>
    <w:link w:val="a4"/>
    <w:rsid w:val="00933CAE"/>
    <w:pPr>
      <w:widowControl w:val="0"/>
      <w:spacing w:after="0" w:line="240" w:lineRule="auto"/>
    </w:pPr>
    <w:rPr>
      <w:rFonts w:eastAsia="Times New Roman" w:cs="Times New Roman"/>
      <w:b/>
      <w:bCs/>
      <w:szCs w:val="30"/>
      <w:u w:val="single"/>
    </w:rPr>
  </w:style>
  <w:style w:type="character" w:customStyle="1" w:styleId="a6">
    <w:name w:val="Другое_"/>
    <w:basedOn w:val="a0"/>
    <w:link w:val="a7"/>
    <w:rsid w:val="00933CAE"/>
    <w:rPr>
      <w:rFonts w:eastAsia="Times New Roman" w:cs="Times New Roman"/>
      <w:szCs w:val="30"/>
    </w:rPr>
  </w:style>
  <w:style w:type="paragraph" w:customStyle="1" w:styleId="a7">
    <w:name w:val="Другое"/>
    <w:basedOn w:val="a"/>
    <w:link w:val="a6"/>
    <w:rsid w:val="00933CAE"/>
    <w:pPr>
      <w:widowControl w:val="0"/>
      <w:spacing w:after="0" w:line="240" w:lineRule="auto"/>
      <w:ind w:firstLine="400"/>
    </w:pPr>
    <w:rPr>
      <w:rFonts w:eastAsia="Times New Roman" w:cs="Times New Roman"/>
      <w:szCs w:val="30"/>
    </w:rPr>
  </w:style>
  <w:style w:type="character" w:customStyle="1" w:styleId="10">
    <w:name w:val="Заголовок №1_"/>
    <w:basedOn w:val="a0"/>
    <w:link w:val="11"/>
    <w:rsid w:val="009E7EBC"/>
    <w:rPr>
      <w:rFonts w:eastAsia="Times New Roman" w:cs="Times New Roman"/>
      <w:b/>
      <w:bCs/>
      <w:szCs w:val="30"/>
    </w:rPr>
  </w:style>
  <w:style w:type="paragraph" w:customStyle="1" w:styleId="11">
    <w:name w:val="Заголовок №1"/>
    <w:basedOn w:val="a"/>
    <w:link w:val="10"/>
    <w:rsid w:val="009E7EBC"/>
    <w:pPr>
      <w:widowControl w:val="0"/>
      <w:spacing w:after="170" w:line="240" w:lineRule="auto"/>
      <w:ind w:firstLine="360"/>
      <w:outlineLvl w:val="0"/>
    </w:pPr>
    <w:rPr>
      <w:rFonts w:eastAsia="Times New Roman" w:cs="Times New Roman"/>
      <w:b/>
      <w:bCs/>
      <w:szCs w:val="30"/>
    </w:rPr>
  </w:style>
  <w:style w:type="paragraph" w:customStyle="1" w:styleId="newncpi">
    <w:name w:val="newncpi"/>
    <w:basedOn w:val="a"/>
    <w:rsid w:val="00D03FD3"/>
    <w:pPr>
      <w:spacing w:after="0" w:line="240" w:lineRule="auto"/>
      <w:ind w:firstLine="567"/>
      <w:jc w:val="both"/>
    </w:pPr>
    <w:rPr>
      <w:rFonts w:eastAsiaTheme="minorEastAsia" w:cs="Times New Roman"/>
      <w:sz w:val="24"/>
      <w:szCs w:val="24"/>
      <w:lang w:eastAsia="ru-RU"/>
    </w:rPr>
  </w:style>
  <w:style w:type="paragraph" w:styleId="a8">
    <w:name w:val="Balloon Text"/>
    <w:basedOn w:val="a"/>
    <w:link w:val="a9"/>
    <w:uiPriority w:val="99"/>
    <w:semiHidden/>
    <w:unhideWhenUsed/>
    <w:rsid w:val="00AF2C2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2C27"/>
    <w:rPr>
      <w:rFonts w:ascii="Segoe UI" w:hAnsi="Segoe UI" w:cs="Segoe UI"/>
      <w:sz w:val="18"/>
      <w:szCs w:val="18"/>
    </w:rPr>
  </w:style>
  <w:style w:type="paragraph" w:customStyle="1" w:styleId="point">
    <w:name w:val="point"/>
    <w:basedOn w:val="a"/>
    <w:rsid w:val="008A29A1"/>
    <w:pPr>
      <w:spacing w:after="0" w:line="240" w:lineRule="auto"/>
      <w:ind w:firstLine="567"/>
      <w:jc w:val="both"/>
    </w:pPr>
    <w:rPr>
      <w:rFonts w:eastAsiaTheme="minorEastAsia" w:cs="Times New Roman"/>
      <w:sz w:val="24"/>
      <w:szCs w:val="24"/>
      <w:lang w:eastAsia="ru-RU"/>
    </w:rPr>
  </w:style>
  <w:style w:type="paragraph" w:styleId="aa">
    <w:name w:val="List Paragraph"/>
    <w:basedOn w:val="a"/>
    <w:uiPriority w:val="34"/>
    <w:qFormat/>
    <w:rsid w:val="00922CF9"/>
    <w:pPr>
      <w:ind w:left="720"/>
      <w:contextualSpacing/>
    </w:pPr>
  </w:style>
  <w:style w:type="paragraph" w:customStyle="1" w:styleId="table10">
    <w:name w:val="table10"/>
    <w:basedOn w:val="a"/>
    <w:rsid w:val="003451B9"/>
    <w:pPr>
      <w:spacing w:after="0" w:line="240" w:lineRule="auto"/>
    </w:pPr>
    <w:rPr>
      <w:rFonts w:eastAsia="Times New Roman" w:cs="Times New Roman"/>
      <w:sz w:val="20"/>
      <w:szCs w:val="20"/>
      <w:lang w:eastAsia="ru-RU"/>
    </w:rPr>
  </w:style>
  <w:style w:type="character" w:styleId="ab">
    <w:name w:val="Hyperlink"/>
    <w:uiPriority w:val="99"/>
    <w:unhideWhenUsed/>
    <w:rsid w:val="00387DD6"/>
    <w:rPr>
      <w:color w:val="0000FF"/>
      <w:u w:val="single"/>
    </w:rPr>
  </w:style>
  <w:style w:type="paragraph" w:customStyle="1" w:styleId="justify">
    <w:name w:val="justify"/>
    <w:basedOn w:val="a"/>
    <w:rsid w:val="00387DD6"/>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rsid w:val="00B050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472D-8392-463C-ABD3-07D80DE3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5301</Words>
  <Characters>30216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Сядура</cp:lastModifiedBy>
  <cp:revision>5</cp:revision>
  <cp:lastPrinted>2026-06-25T07:36:00Z</cp:lastPrinted>
  <dcterms:created xsi:type="dcterms:W3CDTF">2026-06-24T13:17:00Z</dcterms:created>
  <dcterms:modified xsi:type="dcterms:W3CDTF">2026-07-04T10:00:00Z</dcterms:modified>
</cp:coreProperties>
</file>