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Информация о решении заказчика (организатора) по процедуре закупки из одного источника на ЭТП рег.№ EZ20260610379872 «ГродМТ № 155/26-ЗОИ(П) «Контрольный и калибровочный материал для коагулометра Helena АС4, растворы для коагулометра Helena АС4, кюветы для коагулометра Helena АС4, расходные материалы для гемоглобинометра HemoChroma Plus для УЗ «Лидская центральная районная больница», ГУЗ «Гродненский областной центр трансфузиологии»».</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2</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0</w:t>
      </w:r>
    </w:p>
    <w:p w14:paraId="254213C2" w14:textId="77777777" w:rsidR="00636DD5" w:rsidRPr="003A5864" w:rsidRDefault="00636DD5" w:rsidP="00636DD5">
      <w:pPr>
        <w:spacing w:before="120" w:after="120" w:line="240" w:lineRule="auto"/>
        <w:jc w:val="both"/>
        <w:rPr>
          <w:rFonts w:ascii="Times New Roman" w:hAnsi="Times New Roman" w:cs="Times New Roman"/>
          <w:sz w:val="28"/>
          <w:szCs w:val="28"/>
        </w:rPr>
      </w:pPr>
      <w:r w:rsidRPr="003A5864">
        <w:rPr>
          <w:rFonts w:ascii="Times New Roman" w:hAnsi="Times New Roman" w:cs="Times New Roman"/>
          <w:sz w:val="28"/>
          <w:szCs w:val="28"/>
        </w:rPr>
        <w:t>По лоту в установленный срок не было подано документов и (или) сведений.</w:t>
      </w:r>
    </w:p>
    <w:p w14:paraId="1A6440FB" w14:textId="635A8F5C" w:rsidR="00C7751B" w:rsidRDefault="00413F5A" w:rsidP="000A7127">
      <w:pPr>
        <w:spacing w:before="280" w:after="280"/>
      </w:pPr>
      <w:r w:rsidRPr="00D850C4">
        <w:rPr>
          <w:rFonts w:ascii="Times New Roman" w:hAnsi="Times New Roman" w:cs="Times New Roman"/>
          <w:sz w:val="28"/>
          <w:szCs w:val="28"/>
        </w:rPr>
        <w:t>ИТОГИ</w:t>
      </w:r>
      <w:r>
        <w:t>:</w:t>
      </w:r>
    </w:p>
    <w:p w14:paraId="131DAA5D" w14:textId="4FEEAF62" w:rsidR="00C7751B" w:rsidRPr="00345BFD" w:rsidRDefault="00413F5A" w:rsidP="0040677E">
      <w:pPr>
        <w:spacing w:beforeAutospacing="1"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sidRPr="00413F5A">
        <w:rPr>
          <w:rFonts w:ascii="Times New Roman" w:eastAsia="Times New Roman" w:hAnsi="Times New Roman" w:cs="Times New Roman"/>
          <w:sz w:val="28"/>
          <w:szCs w:val="28"/>
          <w:lang w:eastAsia="ru-RU"/>
        </w:rPr>
        <w:t xml:space="preserve"> 2</w:t>
      </w:r>
      <w:r w:rsidRPr="00413F5A">
        <w:rPr>
          <w:rFonts w:ascii="Times New Roman" w:eastAsia="Times New Roman" w:hAnsi="Times New Roman" w:cs="Times New Roman"/>
          <w:i/>
          <w:iCs/>
          <w:sz w:val="28"/>
          <w:szCs w:val="28"/>
          <w:lang w:eastAsia="ru-RU"/>
        </w:rPr>
        <w:t xml:space="preserve"> </w:t>
      </w:r>
      <w:r w:rsidR="0040677E" w:rsidRPr="0040677E">
        <w:rPr>
          <w:rFonts w:ascii="Times New Roman" w:eastAsia="Times New Roman" w:hAnsi="Times New Roman" w:cs="Times New Roman"/>
          <w:sz w:val="28"/>
          <w:szCs w:val="28"/>
          <w:lang w:eastAsia="ru-RU"/>
        </w:rPr>
        <w:t>процедуры закупки из одного источника</w:t>
      </w:r>
      <w:r w:rsidR="005E20A6" w:rsidRPr="005E20A6">
        <w:rPr>
          <w:rFonts w:ascii="Times New Roman" w:eastAsia="Times New Roman" w:hAnsi="Times New Roman" w:cs="Times New Roman"/>
          <w:sz w:val="28"/>
          <w:szCs w:val="28"/>
          <w:lang w:eastAsia="ru-RU"/>
        </w:rPr>
        <w:t xml:space="preserve"> </w:t>
      </w:r>
      <w:r w:rsidR="005E20A6">
        <w:rPr>
          <w:rFonts w:ascii="Times New Roman" w:eastAsia="Times New Roman" w:hAnsi="Times New Roman" w:cs="Times New Roman"/>
          <w:sz w:val="28"/>
          <w:szCs w:val="28"/>
          <w:lang w:eastAsia="ru-RU"/>
        </w:rPr>
        <w:t>на ЭТП</w:t>
      </w:r>
      <w:r w:rsidR="0040677E" w:rsidRPr="0040677E">
        <w:rPr>
          <w:rFonts w:ascii="Times New Roman" w:eastAsia="Times New Roman" w:hAnsi="Times New Roman" w:cs="Times New Roman"/>
          <w:sz w:val="28"/>
          <w:szCs w:val="28"/>
          <w:lang w:eastAsia="ru-RU"/>
        </w:rPr>
        <w:t>: завершить без выбора поставщика (подрядчика, исполнителя)</w:t>
      </w:r>
      <w:r w:rsidRPr="00413F5A">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3</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0</w:t>
      </w:r>
    </w:p>
    <w:p w14:paraId="254213C2" w14:textId="77777777" w:rsidR="00636DD5" w:rsidRPr="003A5864" w:rsidRDefault="00636DD5" w:rsidP="00636DD5">
      <w:pPr>
        <w:spacing w:before="120" w:after="120" w:line="240" w:lineRule="auto"/>
        <w:jc w:val="both"/>
        <w:rPr>
          <w:rFonts w:ascii="Times New Roman" w:hAnsi="Times New Roman" w:cs="Times New Roman"/>
          <w:sz w:val="28"/>
          <w:szCs w:val="28"/>
        </w:rPr>
      </w:pPr>
      <w:r w:rsidRPr="003A5864">
        <w:rPr>
          <w:rFonts w:ascii="Times New Roman" w:hAnsi="Times New Roman" w:cs="Times New Roman"/>
          <w:sz w:val="28"/>
          <w:szCs w:val="28"/>
        </w:rPr>
        <w:t>По лоту в установленный срок не было подано документов и (или) сведений.</w:t>
      </w:r>
    </w:p>
    <w:p w14:paraId="1A6440FB" w14:textId="635A8F5C" w:rsidR="00C7751B" w:rsidRDefault="00413F5A" w:rsidP="000A7127">
      <w:pPr>
        <w:spacing w:before="280" w:after="280"/>
      </w:pPr>
      <w:r w:rsidRPr="00D850C4">
        <w:rPr>
          <w:rFonts w:ascii="Times New Roman" w:hAnsi="Times New Roman" w:cs="Times New Roman"/>
          <w:sz w:val="28"/>
          <w:szCs w:val="28"/>
        </w:rPr>
        <w:t>ИТОГИ</w:t>
      </w:r>
      <w:r>
        <w:t>:</w:t>
      </w:r>
    </w:p>
    <w:p w14:paraId="131DAA5D" w14:textId="4FEEAF62" w:rsidR="00C7751B" w:rsidRPr="00345BFD" w:rsidRDefault="00413F5A" w:rsidP="0040677E">
      <w:pPr>
        <w:spacing w:beforeAutospacing="1"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sidRPr="00413F5A">
        <w:rPr>
          <w:rFonts w:ascii="Times New Roman" w:eastAsia="Times New Roman" w:hAnsi="Times New Roman" w:cs="Times New Roman"/>
          <w:sz w:val="28"/>
          <w:szCs w:val="28"/>
          <w:lang w:eastAsia="ru-RU"/>
        </w:rPr>
        <w:t xml:space="preserve"> 3</w:t>
      </w:r>
      <w:r w:rsidRPr="00413F5A">
        <w:rPr>
          <w:rFonts w:ascii="Times New Roman" w:eastAsia="Times New Roman" w:hAnsi="Times New Roman" w:cs="Times New Roman"/>
          <w:i/>
          <w:iCs/>
          <w:sz w:val="28"/>
          <w:szCs w:val="28"/>
          <w:lang w:eastAsia="ru-RU"/>
        </w:rPr>
        <w:t xml:space="preserve"> </w:t>
      </w:r>
      <w:r w:rsidR="0040677E" w:rsidRPr="0040677E">
        <w:rPr>
          <w:rFonts w:ascii="Times New Roman" w:eastAsia="Times New Roman" w:hAnsi="Times New Roman" w:cs="Times New Roman"/>
          <w:sz w:val="28"/>
          <w:szCs w:val="28"/>
          <w:lang w:eastAsia="ru-RU"/>
        </w:rPr>
        <w:t>процедуры закупки из одного источника</w:t>
      </w:r>
      <w:r w:rsidR="005E20A6" w:rsidRPr="005E20A6">
        <w:rPr>
          <w:rFonts w:ascii="Times New Roman" w:eastAsia="Times New Roman" w:hAnsi="Times New Roman" w:cs="Times New Roman"/>
          <w:sz w:val="28"/>
          <w:szCs w:val="28"/>
          <w:lang w:eastAsia="ru-RU"/>
        </w:rPr>
        <w:t xml:space="preserve"> </w:t>
      </w:r>
      <w:r w:rsidR="005E20A6">
        <w:rPr>
          <w:rFonts w:ascii="Times New Roman" w:eastAsia="Times New Roman" w:hAnsi="Times New Roman" w:cs="Times New Roman"/>
          <w:sz w:val="28"/>
          <w:szCs w:val="28"/>
          <w:lang w:eastAsia="ru-RU"/>
        </w:rPr>
        <w:t>на ЭТП</w:t>
      </w:r>
      <w:r w:rsidR="0040677E" w:rsidRPr="0040677E">
        <w:rPr>
          <w:rFonts w:ascii="Times New Roman" w:eastAsia="Times New Roman" w:hAnsi="Times New Roman" w:cs="Times New Roman"/>
          <w:sz w:val="28"/>
          <w:szCs w:val="28"/>
          <w:lang w:eastAsia="ru-RU"/>
        </w:rPr>
        <w:t>: завершить без выбора поставщика (подрядчика, исполнителя)</w:t>
      </w:r>
      <w:r w:rsidRPr="00413F5A">
        <w:rPr>
          <w:rFonts w:ascii="Times New Roman" w:eastAsia="Times New Roman" w:hAnsi="Times New Roman" w:cs="Times New Roman"/>
          <w:sz w:val="28"/>
          <w:szCs w:val="28"/>
          <w:lang w:eastAsia="ru-RU"/>
        </w:rPr>
        <w:t>.</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4</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Z20260615422820</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Производственное унитарное предприятие "Диасенс"</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191655593</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223060, Республика Беларусь, Минская область, Минский район, Новодворский с/с, р-н дер.Большое Стиклево, д.40, корп.1, пом.22</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2 792,90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Производственное унитарное предприятие "Диасенс",</w:t>
      </w:r>
      <w:r w:rsidR="00A72848" w:rsidRPr="00A72848">
        <w:rPr>
          <w:rFonts w:ascii="Times New Roman" w:eastAsia="Times New Roman" w:hAnsi="Times New Roman" w:cs="Times New Roman"/>
          <w:sz w:val="28"/>
          <w:szCs w:val="28"/>
          <w:lang w:eastAsia="ru-RU"/>
        </w:rPr>
        <w:t xml:space="preserve"> 223060, Республика Беларусь, Минская область, Минский район, Новодворский с/с, р-н дер.Большое Стиклево, д.40, корп.1, пом.22,</w:t>
      </w:r>
      <w:r w:rsidRPr="00452B29">
        <w:rPr>
          <w:rFonts w:ascii="Times New Roman" w:eastAsia="Times New Roman" w:hAnsi="Times New Roman" w:cs="Times New Roman"/>
          <w:sz w:val="28"/>
          <w:szCs w:val="28"/>
          <w:lang w:eastAsia="ru-RU"/>
        </w:rPr>
        <w:t xml:space="preserve"> УНП 191655593</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4</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2 792,90 бел.рубль (BYN).</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