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88" w:rsidRDefault="000C186B">
      <w:pPr>
        <w:pStyle w:val="a00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7366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688" w:rsidRPr="008B1EFD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EF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EFD" w:rsidRPr="008B1EFD" w:rsidRDefault="00ED0EEF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Проректор по учебной работе </w:t>
            </w:r>
            <w:r w:rsidR="000C186B" w:rsidRPr="008B1EFD">
              <w:rPr>
                <w:rFonts w:ascii="Times New Roman" w:eastAsia="Times New Roman" w:hAnsi="Times New Roman" w:cs="Times New Roman"/>
              </w:rPr>
              <w:t>УО "Витебская ордена "Знак Почёта" государственная академия ветеринарной медицины"</w:t>
            </w:r>
            <w:r w:rsidR="000C186B" w:rsidRPr="008B1EFD">
              <w:rPr>
                <w:rFonts w:ascii="Times New Roman" w:eastAsia="Times New Roman" w:hAnsi="Times New Roman" w:cs="Times New Roman"/>
              </w:rPr>
              <w:br/>
            </w:r>
          </w:p>
          <w:p w:rsidR="00736688" w:rsidRPr="008B1EFD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EFD">
              <w:rPr>
                <w:rFonts w:ascii="Times New Roman" w:eastAsia="Times New Roman" w:hAnsi="Times New Roman" w:cs="Times New Roman"/>
              </w:rPr>
              <w:t>________</w:t>
            </w:r>
            <w:r w:rsidR="008B1EFD">
              <w:rPr>
                <w:rFonts w:ascii="Times New Roman" w:eastAsia="Times New Roman" w:hAnsi="Times New Roman" w:cs="Times New Roman"/>
              </w:rPr>
              <w:t xml:space="preserve">  </w:t>
            </w:r>
            <w:r w:rsidR="00ED0EEF">
              <w:rPr>
                <w:rFonts w:ascii="Times New Roman" w:eastAsia="Times New Roman" w:hAnsi="Times New Roman" w:cs="Times New Roman"/>
              </w:rPr>
              <w:t>Субботина И.А.</w:t>
            </w:r>
            <w:r w:rsidRPr="008B1EFD">
              <w:rPr>
                <w:rFonts w:ascii="Times New Roman" w:eastAsia="Times New Roman" w:hAnsi="Times New Roman" w:cs="Times New Roman"/>
              </w:rPr>
              <w:br/>
              <w:t>30.06.2026 г.</w:t>
            </w:r>
          </w:p>
        </w:tc>
      </w:tr>
    </w:tbl>
    <w:p w:rsidR="00736688" w:rsidRDefault="000C186B">
      <w:pPr>
        <w:pStyle w:val="a3"/>
      </w:pPr>
      <w:r>
        <w:t> </w:t>
      </w:r>
    </w:p>
    <w:p w:rsidR="00736688" w:rsidRPr="008B1EFD" w:rsidRDefault="000C186B">
      <w:pPr>
        <w:pStyle w:val="1"/>
        <w:rPr>
          <w:rFonts w:eastAsia="Times New Roman"/>
        </w:rPr>
      </w:pPr>
      <w:r w:rsidRPr="008B1EFD">
        <w:rPr>
          <w:rFonts w:eastAsia="Times New Roman"/>
        </w:rPr>
        <w:t>Аукционные документы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I. Приглашение к участию в процедуре государственной закупки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736688" w:rsidRPr="000C186B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заказчике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43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УО "Витебская ордена "Знак Почёта" государственная академия ветеринарной медицины"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43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210026, Витебская область, Витебск, ул. 1-я Доватора, 7/11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43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300002681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организаторе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электронном аукционе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10.07.2026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закупки, а также цена (тариф) за единицу товара (работы, услуги) и (или) сумма таких цен (тарифов) в случае приобретения товаров (работ, услуг) в соответствии с абз.3 п.4 ст.21 Закона № 419-З)</w:t>
            </w:r>
            <w:proofErr w:type="gram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21749.64 </w:t>
            </w:r>
            <w:proofErr w:type="spell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349" w:rsidRPr="000C186B" w:rsidTr="00EC4511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30349" w:rsidRPr="000C186B" w:rsidRDefault="0043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  <w:p w:rsidR="00430349" w:rsidRPr="000C186B" w:rsidRDefault="00430349" w:rsidP="004303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участникам: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соответствие дополнительным требованиям к участникам (если такие требования установлены).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НК,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Беларусь, что подтверждается соответствующим заявлением участника. Термин «резидент» имеет значение, определенное ч.1 под.1.11 п.1 ст.1 Закона Республики Беларусь от 22.07.2003 № 226-З «О валютном регулировании и валютном контроле»;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Соответствие требованию подтверждается: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отношении участников, являющихся резидентами, – путем проверки заказчиком (организатором) таких сведений через официальные сайты МНС, ФСЗН Минтруда и соцзащиты в сети Интернет на первое число месяца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предложения;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участниками, не являющимися резидентами,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юридическое или физическое лицо, в том числе индивидуальный предприниматель, на дату подачи предложения не должно быть включено в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список поставщиков (подрядчиков, исполнителей), временно не допускаемых к участию в процедурах государственных закупок.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Соответствие требованию подтверждается путем проверки оператором электронной торговой площадки (далее – ЭТП) списка, за исключением случая совместного участия в процедуре государственной закупки нескольких лиц в соответствии с п.4 ст.16 Закона Республики Беларусь от 13.07.2012 № 419-З «О государственных закупках товаров (работ, услуг)».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В таком случае соответствие требованию подтверждается заявлением участника по форме, установленной регламентом оператора ЭТП.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5) юридическое или физическое лицо, в том числе индивидуальный предприниматель, с учетом положений ст.16-1 Закона Республики Беларусь от 13.07.2012 № 419-З «О государственных закупках товаров (работ, услуг)» не должно быть аффилировано с заказчиком, организатором.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6) юридическое или физическое лицо, в том числе индивидуальный предприниматель, являющееся участником-победителем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положений ст.16-1 Закона Республики Беларусь от 13.07.2012 № 419-З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торгам.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3 рабочих дней со дня уведомления участников о выборе участника-победителя последний обязан информировать заказчика (организатора) о том, что все участники (а если предмет государственной закупки разделен на части (лоты) – все участники по той же части (лоту)), допущенные к торгам, являются для него аффилированными лицами, либо о том, что среди таких участников имеется лицо, не аффилированное с ним.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исчислении указанного срока не учитывается срок рассмотрения жалобы уполномоченным государственным органом по государственным закупкам.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предоставляется участником-победителем в виде заявления по форме, установленной регламентом оператора ЭТП.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ЭТП обеспечивает размещение указанного заявления в открытом доступе на ЭТП.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7)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оценке и сравнению предложений.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 мероприятия, при приобретении работ (услуг) по реализации этого мероприятия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8)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9)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10) юридическое лицо не должно находиться в процессе ликвидации, реорганизации (за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11) в отношении юридического лица и индивидуального предпринимателя не должно быть возбуждено производство по делу о банкротстве.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12) 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13)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 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(или) знаков обслуживания.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Соответствие указанным в пп.5, 7-13 требованиям подтверждается заявлением участника по форме, установленной регламентом оператора ЭТП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Требование о предоставлен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кционного обеспечения, размер аукционного обеспечения, 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действия банковской гарантии и (или) обеспечения исполнения обязательств по договору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предмете государственной закупки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(лот) № 1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техника в комплекте (системный блок, монитор, клавиатура, мышь)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Код (или несколько кодов) по ОКРБ 007-2012 (подвид)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26.20.13.000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(или несколько наименований) в соответствии с ОКРБ 007-2012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Машины вычислительные цифровые, содержащие в одном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корпусе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крайней мере центральный процессор и устройство ввода-вывода, комбинированные или размещенные в отдельных блоках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 (либо порядок определения объема (количества) товаров (работ, услуг) в случае приобретения товаров (работ, услуг) в соответствии с абз.3 п.4 ст.21 Закона № 419-З)</w:t>
            </w:r>
            <w:proofErr w:type="gram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33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C186B"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.07.2026 - 31.07.2026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210516, 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Витебский р-н д. Лужесно, ул. Спортивная, 3А, транспортом и за счёт поставщика. </w:t>
            </w:r>
            <w:bookmarkEnd w:id="0"/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 по части (лоту), а также цена (тариф) за единицу товара (работы, услуги) и (или) сумма таких цен (тарифов) в случае приобретения товаров (работ, услуг) в соответствии с абз.3 п.4 ст.21 Закона № 419-З</w:t>
            </w:r>
            <w:proofErr w:type="gram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21749.64 </w:t>
            </w:r>
            <w:proofErr w:type="spell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республиканского бюджета (счет казначейства)</w:t>
            </w:r>
          </w:p>
        </w:tc>
      </w:tr>
    </w:tbl>
    <w:p w:rsidR="00736688" w:rsidRPr="000C186B" w:rsidRDefault="000C186B" w:rsidP="00430349">
      <w:pPr>
        <w:pStyle w:val="margt"/>
        <w:ind w:firstLine="0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II. Описание предмета государственной закупки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 xml:space="preserve"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 </w:t>
      </w:r>
      <w:proofErr w:type="gramStart"/>
      <w:r w:rsidRPr="000C186B">
        <w:rPr>
          <w:rFonts w:ascii="Times New Roman" w:hAnsi="Times New Roman" w:cs="Times New Roman"/>
        </w:rPr>
        <w:t>Согласно</w:t>
      </w:r>
      <w:proofErr w:type="gramEnd"/>
      <w:r w:rsidRPr="000C186B">
        <w:rPr>
          <w:rFonts w:ascii="Times New Roman" w:hAnsi="Times New Roman" w:cs="Times New Roman"/>
        </w:rPr>
        <w:t xml:space="preserve"> технического задания.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proofErr w:type="gramStart"/>
      <w:r w:rsidRPr="000C186B">
        <w:rPr>
          <w:rFonts w:ascii="Times New Roman" w:hAnsi="Times New Roman" w:cs="Times New Roman"/>
        </w:rPr>
        <w:lastRenderedPageBreak/>
        <w:t>К участию в электронном аукционе допускается участник, предложение которого содержит информацию о поставке товара, указанного в приложении 1 к постановлению Совета Министров Республики Беларусь от 17.03.2016 № 206 «О допуске товаров иностранного происхождения и поставщиков, предлагающих такие товары, к участию в процедурах государственных закупок» (далее по тексту раздела III - постановление № 206), происходящего из иностранного государства или группы иностранных государств, за исключением</w:t>
      </w:r>
      <w:proofErr w:type="gramEnd"/>
      <w:r w:rsidRPr="000C186B">
        <w:rPr>
          <w:rFonts w:ascii="Times New Roman" w:hAnsi="Times New Roman" w:cs="Times New Roman"/>
        </w:rPr>
        <w:t xml:space="preserve"> </w:t>
      </w:r>
      <w:proofErr w:type="gramStart"/>
      <w:r w:rsidRPr="000C186B">
        <w:rPr>
          <w:rFonts w:ascii="Times New Roman" w:hAnsi="Times New Roman" w:cs="Times New Roman"/>
        </w:rPr>
        <w:t>Республики Армения, Республики Казахстан, Кыргызской Республики и Российской Федерации, если для участия в электронном аукционе подано менее двух предложений, содержащих информацию о поставке такого товара, происходящего из Республики Армения, Республики Беларусь, Республики Казахстан, Кыргызской Республики и (или) Российской Федерации, и соответствующих требованиям аукционных документов, включая приглашение к участию в процедуре государственной закупки.</w:t>
      </w:r>
      <w:proofErr w:type="gramEnd"/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Документами, подтверждающими страну происхождения товара, для целей проведения электронного аукциона являются: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1) для товаров, происходящих из Республики Беларусь, указанных в приложении 1 к постановлению № 206, один из следующих документов: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 xml:space="preserve">- документ о происхождении товара, выдаваемый </w:t>
      </w:r>
      <w:proofErr w:type="spellStart"/>
      <w:r w:rsidRPr="000C186B">
        <w:rPr>
          <w:rFonts w:ascii="Times New Roman" w:hAnsi="Times New Roman" w:cs="Times New Roman"/>
        </w:rPr>
        <w:t>БелТПП</w:t>
      </w:r>
      <w:proofErr w:type="spellEnd"/>
      <w:r w:rsidRPr="000C186B">
        <w:rPr>
          <w:rFonts w:ascii="Times New Roman" w:hAnsi="Times New Roman" w:cs="Times New Roman"/>
        </w:rPr>
        <w:t xml:space="preserve">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 20.11.2009,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 Республики Беларусь;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 xml:space="preserve">- сертификат продукции собственного производства, выдаваемый </w:t>
      </w:r>
      <w:proofErr w:type="spellStart"/>
      <w:r w:rsidRPr="000C186B">
        <w:rPr>
          <w:rFonts w:ascii="Times New Roman" w:hAnsi="Times New Roman" w:cs="Times New Roman"/>
        </w:rPr>
        <w:t>БелТПП</w:t>
      </w:r>
      <w:proofErr w:type="spellEnd"/>
      <w:r w:rsidRPr="000C186B">
        <w:rPr>
          <w:rFonts w:ascii="Times New Roman" w:hAnsi="Times New Roman" w:cs="Times New Roman"/>
        </w:rPr>
        <w:t xml:space="preserve"> или унитарными предприятиями </w:t>
      </w:r>
      <w:proofErr w:type="spellStart"/>
      <w:r w:rsidRPr="000C186B">
        <w:rPr>
          <w:rFonts w:ascii="Times New Roman" w:hAnsi="Times New Roman" w:cs="Times New Roman"/>
        </w:rPr>
        <w:t>БелТПП</w:t>
      </w:r>
      <w:proofErr w:type="spellEnd"/>
      <w:r w:rsidRPr="000C186B">
        <w:rPr>
          <w:rFonts w:ascii="Times New Roman" w:hAnsi="Times New Roman" w:cs="Times New Roman"/>
        </w:rPr>
        <w:t>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к нему прилагается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- выписка из евразийского реестра промышленных товаров государств – членов Евразийского экономического союза, полученная в соответствии с п.24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23.11.2020 № 105, или ее копия;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 xml:space="preserve">-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</w:t>
      </w:r>
      <w:proofErr w:type="spellStart"/>
      <w:r w:rsidRPr="000C186B">
        <w:rPr>
          <w:rFonts w:ascii="Times New Roman" w:hAnsi="Times New Roman" w:cs="Times New Roman"/>
        </w:rPr>
        <w:t>БелТПП</w:t>
      </w:r>
      <w:proofErr w:type="spellEnd"/>
      <w:r w:rsidRPr="000C186B">
        <w:rPr>
          <w:rFonts w:ascii="Times New Roman" w:hAnsi="Times New Roman" w:cs="Times New Roman"/>
        </w:rPr>
        <w:t xml:space="preserve"> или ее унитарными предприятиями, либо его копия;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proofErr w:type="gramStart"/>
      <w:r w:rsidRPr="000C186B">
        <w:rPr>
          <w:rFonts w:ascii="Times New Roman" w:hAnsi="Times New Roman" w:cs="Times New Roman"/>
        </w:rPr>
        <w:t>2) 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указанных в приложении 1 к постановлению № 206, кроме товаров, происходящих из государств - членов ЕАЭС, включенных в приложение 2 к постановлению № 206, - документ о происхождении товара, выдаваемый уполномоченными органами (организациями) этих государств в соответствии с критериями определения</w:t>
      </w:r>
      <w:proofErr w:type="gramEnd"/>
      <w:r w:rsidRPr="000C186B">
        <w:rPr>
          <w:rFonts w:ascii="Times New Roman" w:hAnsi="Times New Roman" w:cs="Times New Roman"/>
        </w:rPr>
        <w:t xml:space="preserve">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20.11.2009, или его копия;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proofErr w:type="gramStart"/>
      <w:r w:rsidRPr="000C186B">
        <w:rPr>
          <w:rFonts w:ascii="Times New Roman" w:hAnsi="Times New Roman" w:cs="Times New Roman"/>
        </w:rPr>
        <w:t xml:space="preserve">3) для товаров, происходящих из государств - членов ЕАЭС, за исключением происходящих из Республики Беларусь, указанных в приложении 1 к постановлению № 206, - выписка из евразийского реестра промышленных товаров государств - членов Евразийского экономического союза, полученная в </w:t>
      </w:r>
      <w:r w:rsidRPr="000C186B">
        <w:rPr>
          <w:rFonts w:ascii="Times New Roman" w:hAnsi="Times New Roman" w:cs="Times New Roman"/>
        </w:rPr>
        <w:lastRenderedPageBreak/>
        <w:t>соответствии с п.24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23.11.2020 № 105, или</w:t>
      </w:r>
      <w:proofErr w:type="gramEnd"/>
      <w:r w:rsidRPr="000C186B">
        <w:rPr>
          <w:rFonts w:ascii="Times New Roman" w:hAnsi="Times New Roman" w:cs="Times New Roman"/>
        </w:rPr>
        <w:t xml:space="preserve"> ее копия.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 xml:space="preserve"> IV. Порядок формирования цены предложения: </w:t>
      </w:r>
      <w:proofErr w:type="gramStart"/>
      <w:r w:rsidR="00430349" w:rsidRPr="000C186B">
        <w:rPr>
          <w:rFonts w:ascii="Times New Roman" w:hAnsi="Times New Roman" w:cs="Times New Roman"/>
          <w:lang w:eastAsia="en-US"/>
        </w:rPr>
        <w:t>Цена предложения участника должна включать в себя общую сумму выплат на товар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</w:t>
      </w:r>
      <w:proofErr w:type="gramEnd"/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 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Белорусский рубль, Белорусский рубль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 VI. Порядок участия в процедуре государственной закупки субъектов малого и среднего предпринимательства.</w:t>
      </w:r>
      <w:r w:rsidR="008B1EFD" w:rsidRPr="000C186B">
        <w:rPr>
          <w:rFonts w:ascii="Times New Roman" w:hAnsi="Times New Roman" w:cs="Times New Roman"/>
        </w:rPr>
        <w:t xml:space="preserve"> </w:t>
      </w:r>
      <w:proofErr w:type="gramStart"/>
      <w:r w:rsidRPr="000C186B">
        <w:rPr>
          <w:rFonts w:ascii="Times New Roman" w:hAnsi="Times New Roman" w:cs="Times New Roman"/>
        </w:rPr>
        <w:t>Не устанавливается, так как закупаемый товар (работа, услуга) не включен в Перечень товаров (работ, услуг), процедуры государственных закупок которых проводятся с участием субъектов малого и среднего предпринимательства (приложение 3 к постановлению Совета Министров Республики Беларусь от 15.06.2019 № 395 «О реализации Закона Республики Беларусь «О внесении изменений и дополнений в Закон Республики Беларусь «О государственных закупках товаров (работ, услуг).</w:t>
      </w:r>
      <w:proofErr w:type="gramEnd"/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 VII. Акты законодательства о государственных закупках, в соответствии с которыми проводится процедура государственной закупки.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proofErr w:type="gramStart"/>
      <w:r w:rsidRPr="000C186B">
        <w:rPr>
          <w:rFonts w:ascii="Times New Roman" w:hAnsi="Times New Roman" w:cs="Times New Roman"/>
        </w:rPr>
        <w:t>Настоящий электронный аукцион проводится в порядке, установленном Законом Республики Беларусь от 13.07.2012 № 419-З «О государственных закупках товаров (работ, услуг)», постановлением Совета Министров Республики Беларусь от 15.06.2019 № 395 «О реализации Закона Республики Беларусь "О внесении изменений и дополнений в Закон Республики Беларусь "О государственных закупках товаров (работ, услуг)"», постановлением Совета Министров Республики Беларусь от 17.03.2016 № 206 «О допуске товаров иностранного происхождения</w:t>
      </w:r>
      <w:proofErr w:type="gramEnd"/>
      <w:r w:rsidRPr="000C186B">
        <w:rPr>
          <w:rFonts w:ascii="Times New Roman" w:hAnsi="Times New Roman" w:cs="Times New Roman"/>
        </w:rPr>
        <w:t xml:space="preserve"> и поставщиков, предлагающих такие товары, к участию в процедурах государственных закупок», постановлением Министерства антимонопольного регулирования и торговли Республики Беларусь от 26.08.2020 № 56 «Об установлении примерных форм документов по процедурам государственных закупок».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 VIII. Условия применения преференциальной поправки.</w:t>
      </w:r>
      <w:r w:rsidR="008B1EFD" w:rsidRPr="000C186B">
        <w:rPr>
          <w:rFonts w:ascii="Times New Roman" w:hAnsi="Times New Roman" w:cs="Times New Roman"/>
        </w:rPr>
        <w:t xml:space="preserve"> </w:t>
      </w:r>
      <w:r w:rsidRPr="000C186B">
        <w:rPr>
          <w:rFonts w:ascii="Times New Roman" w:hAnsi="Times New Roman" w:cs="Times New Roman"/>
        </w:rPr>
        <w:t>По код</w:t>
      </w:r>
      <w:proofErr w:type="gramStart"/>
      <w:r w:rsidRPr="000C186B">
        <w:rPr>
          <w:rFonts w:ascii="Times New Roman" w:hAnsi="Times New Roman" w:cs="Times New Roman"/>
        </w:rPr>
        <w:t>у(</w:t>
      </w:r>
      <w:proofErr w:type="gramEnd"/>
      <w:r w:rsidRPr="000C186B">
        <w:rPr>
          <w:rFonts w:ascii="Times New Roman" w:hAnsi="Times New Roman" w:cs="Times New Roman"/>
        </w:rPr>
        <w:t>-ам) 26.20.13.000 преференциальная поправка не применяется.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IX. Размер и порядок оплаты услуг организатора, а также дата согласования размера оплаты его услуг (</w:t>
      </w:r>
      <w:r w:rsidRPr="000C186B">
        <w:rPr>
          <w:rStyle w:val="a4"/>
          <w:rFonts w:ascii="Times New Roman" w:hAnsi="Times New Roman" w:cs="Times New Roman"/>
        </w:rPr>
        <w:t>заполните,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 Беларусь</w:t>
      </w:r>
      <w:r w:rsidRPr="000C186B">
        <w:rPr>
          <w:rFonts w:ascii="Times New Roman" w:hAnsi="Times New Roman" w:cs="Times New Roman"/>
        </w:rPr>
        <w:t>) __________________________________________________________________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 Х. Требования к содержанию и форме предложения с учетом регламента оператора электронной торговой площадки.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В случае</w:t>
      </w:r>
      <w:proofErr w:type="gramStart"/>
      <w:r w:rsidRPr="000C186B">
        <w:rPr>
          <w:rFonts w:ascii="Times New Roman" w:hAnsi="Times New Roman" w:cs="Times New Roman"/>
        </w:rPr>
        <w:t>,</w:t>
      </w:r>
      <w:proofErr w:type="gramEnd"/>
      <w:r w:rsidRPr="000C186B">
        <w:rPr>
          <w:rFonts w:ascii="Times New Roman" w:hAnsi="Times New Roman" w:cs="Times New Roman"/>
        </w:rPr>
        <w:t xml:space="preserve">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lastRenderedPageBreak/>
        <w:t>Предложение должно состоять из двух разделов и содержать следующие сведения:</w:t>
      </w:r>
    </w:p>
    <w:p w:rsidR="00736688" w:rsidRPr="000C186B" w:rsidRDefault="000C186B" w:rsidP="008B1EFD">
      <w:pPr>
        <w:pStyle w:val="a0-justify"/>
        <w:jc w:val="center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РАЗДЕЛ I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672"/>
        <w:gridCol w:w="3288"/>
      </w:tblGrid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(лот) № ______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1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(кол-во), ед. изм.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первого раздела предложения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Заявление о праве на применение преференциальной поправки по форме, установленной регламентом оператора электронной торговой площадки, и документы, подтверждающие право на применение преференциальной поправки, если участник заявляет о таком праве и ее применение установлено Советом Министров Республики Беларусь;</w:t>
            </w:r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Заявление о согласии участника на размещение в открытом доступе предложения</w:t>
            </w:r>
          </w:p>
        </w:tc>
      </w:tr>
    </w:tbl>
    <w:p w:rsidR="00736688" w:rsidRPr="000C186B" w:rsidRDefault="000C186B" w:rsidP="008B1EFD">
      <w:pPr>
        <w:pStyle w:val="margt"/>
        <w:jc w:val="center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РАЗДЕЛ II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672"/>
        <w:gridCol w:w="3288"/>
      </w:tblGrid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1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 - для физического лица, в 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688" w:rsidRPr="000C186B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второго раздела предложения</w:t>
            </w:r>
          </w:p>
        </w:tc>
      </w:tr>
      <w:tr w:rsidR="00736688" w:rsidRPr="000C186B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</w:t>
            </w:r>
            <w:proofErr w:type="gramStart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подтверждающих соответствие требованиям к участникам, установленным согласно п.2 ст.16 Закона Республики Беларусь от 13.07.2012 № 419-З «О государственных закупках товаров (работ, услуг)»;</w:t>
            </w: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предоставление которых установлено аукционными документами 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736688" w:rsidRPr="000C186B" w:rsidRDefault="000C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736688" w:rsidRPr="000C186B" w:rsidRDefault="00A761BA" w:rsidP="00430349">
      <w:pPr>
        <w:pStyle w:val="margt"/>
        <w:ind w:firstLine="0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lastRenderedPageBreak/>
        <w:t xml:space="preserve"> </w:t>
      </w:r>
      <w:r w:rsidR="000C186B" w:rsidRPr="000C186B">
        <w:rPr>
          <w:rFonts w:ascii="Times New Roman" w:hAnsi="Times New Roman" w:cs="Times New Roman"/>
        </w:rPr>
        <w:t>XI. Договор.</w:t>
      </w:r>
    </w:p>
    <w:p w:rsidR="00736688" w:rsidRPr="000C186B" w:rsidRDefault="000C186B">
      <w:pPr>
        <w:pStyle w:val="a0-justify"/>
        <w:rPr>
          <w:rFonts w:ascii="Times New Roman" w:hAnsi="Times New Roman" w:cs="Times New Roman"/>
        </w:rPr>
      </w:pPr>
      <w:r w:rsidRPr="000C186B">
        <w:rPr>
          <w:rFonts w:ascii="Times New Roman" w:hAnsi="Times New Roman" w:cs="Times New Roman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736688" w:rsidRDefault="000C186B">
      <w:pPr>
        <w:pStyle w:val="a0-justify"/>
        <w:rPr>
          <w:rFonts w:ascii="Times New Roman" w:hAnsi="Times New Roman" w:cs="Times New Roman"/>
        </w:rPr>
      </w:pPr>
      <w:proofErr w:type="gramStart"/>
      <w:r w:rsidRPr="000C186B">
        <w:rPr>
          <w:rFonts w:ascii="Times New Roman" w:hAnsi="Times New Roman" w:cs="Times New Roman"/>
        </w:rPr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 Беларусь, расходов на доставку товаров до пункта таможенного оформления, косвенных налогов, взимаемых налоговыми органами при ввозе</w:t>
      </w:r>
      <w:proofErr w:type="gramEnd"/>
      <w:r w:rsidRPr="000C186B">
        <w:rPr>
          <w:rFonts w:ascii="Times New Roman" w:hAnsi="Times New Roman" w:cs="Times New Roman"/>
        </w:rPr>
        <w:t xml:space="preserve"> товаров на территорию Республики Беларусь, если они оплачиваются заказчиком.</w:t>
      </w:r>
    </w:p>
    <w:p w:rsidR="000C186B" w:rsidRDefault="000C186B">
      <w:pPr>
        <w:pStyle w:val="a0-justify"/>
        <w:rPr>
          <w:rFonts w:ascii="Times New Roman" w:hAnsi="Times New Roman" w:cs="Times New Roman"/>
        </w:rPr>
      </w:pPr>
    </w:p>
    <w:p w:rsidR="000C186B" w:rsidRDefault="000C186B" w:rsidP="000C186B">
      <w:pPr>
        <w:pStyle w:val="a0-justify"/>
        <w:tabs>
          <w:tab w:val="left" w:pos="4710"/>
        </w:tabs>
        <w:rPr>
          <w:rFonts w:ascii="Times New Roman" w:hAnsi="Times New Roman" w:cs="Times New Roman"/>
          <w:b/>
        </w:rPr>
      </w:pPr>
      <w:r w:rsidRPr="000C186B">
        <w:rPr>
          <w:rFonts w:ascii="Times New Roman" w:hAnsi="Times New Roman" w:cs="Times New Roman"/>
          <w:b/>
        </w:rPr>
        <w:t xml:space="preserve">Председатель комиссии: </w:t>
      </w:r>
      <w:r>
        <w:rPr>
          <w:rFonts w:ascii="Times New Roman" w:hAnsi="Times New Roman" w:cs="Times New Roman"/>
          <w:b/>
        </w:rPr>
        <w:tab/>
        <w:t>__________                  А.В. Карась</w:t>
      </w:r>
    </w:p>
    <w:p w:rsidR="000C186B" w:rsidRDefault="000C186B" w:rsidP="000C186B">
      <w:pPr>
        <w:pStyle w:val="a0-justify"/>
        <w:tabs>
          <w:tab w:val="left" w:pos="4710"/>
          <w:tab w:val="left" w:pos="699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Зам. председателя комиссии:                          __________</w:t>
      </w:r>
      <w:r>
        <w:rPr>
          <w:rFonts w:ascii="Times New Roman" w:hAnsi="Times New Roman" w:cs="Times New Roman"/>
          <w:b/>
        </w:rPr>
        <w:tab/>
        <w:t>Е.Ю. Вечерняя</w:t>
      </w:r>
    </w:p>
    <w:p w:rsidR="000C186B" w:rsidRDefault="000C186B" w:rsidP="000C186B">
      <w:pPr>
        <w:pStyle w:val="a0-justify"/>
        <w:tabs>
          <w:tab w:val="left" w:pos="4710"/>
          <w:tab w:val="left" w:pos="699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Члены комиссии: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директора по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__________   </w:t>
      </w:r>
      <w:r>
        <w:rPr>
          <w:rFonts w:ascii="Times New Roman" w:hAnsi="Times New Roman" w:cs="Times New Roman"/>
        </w:rPr>
        <w:tab/>
        <w:t xml:space="preserve">          Ю.В. Чернецов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Нач. отдела бухучёта и отчётности                   __________                 О.В. Ковалёва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Экономист                                                           __________                  С.В. Романова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  <w:tab w:val="left" w:pos="6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Инженер-программист                                       __________</w:t>
      </w:r>
      <w:r>
        <w:rPr>
          <w:rFonts w:ascii="Times New Roman" w:hAnsi="Times New Roman" w:cs="Times New Roman"/>
        </w:rPr>
        <w:tab/>
        <w:t>П.П. Ротомский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  <w:tab w:val="left" w:pos="6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общежитием                                 __________                  И.А. Шибеко</w:t>
      </w:r>
    </w:p>
    <w:p w:rsid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  <w:tab w:val="left" w:pos="6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Кладовщик                                                          __________                  Н.В. </w:t>
      </w:r>
      <w:proofErr w:type="spellStart"/>
      <w:r>
        <w:rPr>
          <w:rFonts w:ascii="Times New Roman" w:hAnsi="Times New Roman" w:cs="Times New Roman"/>
        </w:rPr>
        <w:t>Касакевич</w:t>
      </w:r>
      <w:proofErr w:type="spellEnd"/>
    </w:p>
    <w:p w:rsidR="000C186B" w:rsidRPr="000C186B" w:rsidRDefault="000C186B" w:rsidP="000C186B">
      <w:pPr>
        <w:pStyle w:val="a0-justify"/>
        <w:tabs>
          <w:tab w:val="left" w:pos="708"/>
          <w:tab w:val="left" w:pos="1416"/>
          <w:tab w:val="left" w:pos="2124"/>
          <w:tab w:val="left" w:pos="2832"/>
          <w:tab w:val="left" w:pos="6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__________                  П.Г. Козлова</w:t>
      </w:r>
    </w:p>
    <w:sectPr w:rsidR="000C186B" w:rsidRPr="000C186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E9"/>
    <w:rsid w:val="0003317C"/>
    <w:rsid w:val="000C186B"/>
    <w:rsid w:val="000C6DED"/>
    <w:rsid w:val="00430349"/>
    <w:rsid w:val="00736688"/>
    <w:rsid w:val="008B1EFD"/>
    <w:rsid w:val="00A761BA"/>
    <w:rsid w:val="00ED0EEF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character" w:styleId="a4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2026-06-30T08:15:00Z</cp:lastPrinted>
  <dcterms:created xsi:type="dcterms:W3CDTF">2026-06-29T13:16:00Z</dcterms:created>
  <dcterms:modified xsi:type="dcterms:W3CDTF">2026-06-30T08:16:00Z</dcterms:modified>
</cp:coreProperties>
</file>