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EZ20260612380404 «Светильники».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3 901,20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4 112,40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224032, Республика Беларусь, Брестская область, г.Брест, ул.Советской Конституции, д.30-1, оф.113,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290479003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3 901,20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1 286,64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технического задания, а именно,  участником в описании товара прописано, что «Цветовая температура - 5000К, Световой поток – 15000Лм», вместе с тем Заказчиком в техническом задании установлено «Цветовая температура – 5600-6400К, Световой поток 20400-27000Лм».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"ДэзиСвет"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692208812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223044, Республика Беларусь, Минская область, Папернянский с/с, д.Касынь, ул.Рубиновая, д.7-2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"ДэзиСвет",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223044, Республика Беларусь, Минская область, Папернянский с/с, д.Касынь, ул.Рубиновая, д.7-2,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692208812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технического задания, а именно,  участником в описании товара прописано, что «Цветовая температура - 5000К, Световой поток – 10700Лм», вместе с тем Заказчиком в техническом задании установлено «Цветовая температура – 5600-6400К, Световой поток - 16800-27000Лм».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"ДэзиСвет"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692208812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223044, Республика Беларусь, Минская область, Папернянский с/с, д.Касынь, ул.Рубиновая, д.7-2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"ДэзиСвет",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223044, Республика Беларусь, Минская область, Папернянский с/с, д.Касынь, ул.Рубиновая, д.7-2,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692208812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