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449/26-ЭА «Контрольные материалы для выполнения иммунохемилюминесцентных исследований на анализаторе PATHFAST для УЗ «Гродненская университетская клиника»,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449/26-ЭА «Контрольные материалы для выполнения иммунохемилюминесцентных исследований на анализаторе PATHFAST для УЗ «Гродненская университетская клиника»,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449/26-ЭА «Контрольные материалы для выполнения иммунохемилюминесцентных исследований на анализаторе PATHFAST для УЗ «Гродненская университетская клиника»,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449/26-ЭА «Контрольные материалы для выполнения иммунохемилюминесцентных исследований на анализаторе PATHFAST для УЗ «Гродненская университетская клиника»,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449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449/26-ЭА «Контрольные материалы для выполнения иммунохемилюминесцентных исследований на анализаторе PATHFAST для УЗ «Гродненская университетская клиника»,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449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16 июня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