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109AC753" w:rsidR="00390439" w:rsidRPr="00054EEE" w:rsidRDefault="006609E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12.06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0D2A24D9" w14:textId="77777777" w:rsidR="0082092C" w:rsidRPr="0082092C" w:rsidRDefault="002457EE" w:rsidP="0082092C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2092C">
        <w:rPr>
          <w:b/>
          <w:sz w:val="26"/>
          <w:szCs w:val="26"/>
          <w:u w:val="single"/>
        </w:rPr>
        <w:t xml:space="preserve">Реагенты и </w:t>
      </w:r>
      <w:r w:rsidR="00A916A1" w:rsidRPr="0082092C">
        <w:rPr>
          <w:b/>
          <w:sz w:val="26"/>
          <w:szCs w:val="26"/>
          <w:u w:val="single"/>
        </w:rPr>
        <w:t>расходные</w:t>
      </w:r>
      <w:r w:rsidRPr="0082092C">
        <w:rPr>
          <w:b/>
          <w:sz w:val="26"/>
          <w:szCs w:val="26"/>
          <w:u w:val="single"/>
        </w:rPr>
        <w:t xml:space="preserve"> материалы </w:t>
      </w:r>
      <w:r w:rsidR="0082092C" w:rsidRPr="0082092C">
        <w:rPr>
          <w:b/>
          <w:sz w:val="26"/>
          <w:szCs w:val="26"/>
          <w:u w:val="single"/>
        </w:rPr>
        <w:t>по заданию ГПНИ 4.2.26</w:t>
      </w:r>
    </w:p>
    <w:p w14:paraId="2ABED32F" w14:textId="24D4511C" w:rsidR="00687B62" w:rsidRPr="0082092C" w:rsidRDefault="0082092C" w:rsidP="0082092C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82092C">
        <w:rPr>
          <w:b/>
          <w:sz w:val="26"/>
          <w:szCs w:val="26"/>
          <w:u w:val="single"/>
        </w:rPr>
        <w:t>«Определить спектр изменений ядер опухолевых клеток и микроокружения при рецидивах В-клеточных неходжкинских лимфом»</w:t>
      </w:r>
      <w:r w:rsidR="002457EE" w:rsidRPr="0082092C">
        <w:rPr>
          <w:b/>
          <w:sz w:val="26"/>
          <w:szCs w:val="26"/>
          <w:u w:val="single"/>
        </w:rPr>
        <w:t xml:space="preserve"> </w:t>
      </w:r>
    </w:p>
    <w:p w14:paraId="2B7D9EC6" w14:textId="77777777" w:rsidR="002457EE" w:rsidRPr="002457EE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06E5C16F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2457EE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82092C">
        <w:rPr>
          <w:rFonts w:eastAsiaTheme="minorEastAsia"/>
          <w:b/>
          <w:lang w:eastAsia="zh-CN"/>
        </w:rPr>
        <w:t xml:space="preserve">(Приложение </w:t>
      </w:r>
      <w:r w:rsidR="00FA33D2" w:rsidRPr="0082092C">
        <w:rPr>
          <w:rFonts w:eastAsiaTheme="minorEastAsia"/>
          <w:b/>
          <w:lang w:eastAsia="zh-CN"/>
        </w:rPr>
        <w:t>6</w:t>
      </w:r>
      <w:r w:rsidR="003F1D9D" w:rsidRPr="0082092C">
        <w:rPr>
          <w:rFonts w:eastAsiaTheme="minorEastAsia"/>
          <w:b/>
          <w:lang w:eastAsia="zh-CN"/>
        </w:rPr>
        <w:t>)</w:t>
      </w:r>
      <w:r w:rsidR="003F1D9D" w:rsidRPr="0082092C">
        <w:rPr>
          <w:rFonts w:eastAsiaTheme="minorEastAsia"/>
          <w:sz w:val="20"/>
          <w:szCs w:val="20"/>
          <w:lang w:eastAsia="zh-CN"/>
        </w:rPr>
        <w:t xml:space="preserve"> и </w:t>
      </w:r>
      <w:r w:rsidR="003F1D9D" w:rsidRPr="00E050EA">
        <w:rPr>
          <w:rFonts w:eastAsiaTheme="minorEastAsia"/>
          <w:sz w:val="20"/>
          <w:szCs w:val="20"/>
          <w:lang w:eastAsia="zh-CN"/>
        </w:rPr>
        <w:t>предоставить коммерческое предложение с указанием стоимости, 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609E9">
        <w:rPr>
          <w:rFonts w:eastAsiaTheme="minorEastAsia"/>
          <w:b/>
          <w:lang w:eastAsia="zh-CN"/>
        </w:rPr>
        <w:t>16.06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0E29A331" w:rsidR="00390439" w:rsidRPr="00054EEE" w:rsidRDefault="003F2F03" w:rsidP="00FA33D2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6609E9" w:rsidRPr="006609E9">
              <w:rPr>
                <w:b/>
                <w:color w:val="000000"/>
                <w:szCs w:val="18"/>
              </w:rPr>
              <w:t>90 календарных дней с момента подписания договора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533AC47" w14:textId="294A9ED9" w:rsidR="00543E41" w:rsidRDefault="00543E41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3FE161D7" w14:textId="1ACC0C6B" w:rsidR="00543E41" w:rsidRPr="00E050EA" w:rsidRDefault="00543E41" w:rsidP="00D5669E">
      <w:pPr>
        <w:autoSpaceDE w:val="0"/>
        <w:autoSpaceDN w:val="0"/>
        <w:adjustRightInd w:val="0"/>
        <w:ind w:left="-426"/>
        <w:rPr>
          <w:sz w:val="20"/>
          <w:szCs w:val="20"/>
        </w:rPr>
      </w:pPr>
    </w:p>
    <w:p w14:paraId="0F82DEFB" w14:textId="31CB33B3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78805CC0" w14:textId="77777777" w:rsidR="0082092C" w:rsidRDefault="0082092C" w:rsidP="00CF3AC3">
      <w:pPr>
        <w:autoSpaceDE w:val="0"/>
        <w:autoSpaceDN w:val="0"/>
        <w:adjustRightInd w:val="0"/>
        <w:spacing w:after="120"/>
        <w:ind w:left="993" w:hanging="426"/>
      </w:pPr>
    </w:p>
    <w:p w14:paraId="1916A8C5" w14:textId="77777777" w:rsidR="0082092C" w:rsidRDefault="0082092C" w:rsidP="0082092C">
      <w:pPr>
        <w:spacing w:line="256" w:lineRule="auto"/>
        <w:ind w:firstLine="567"/>
        <w:jc w:val="right"/>
        <w:rPr>
          <w:rFonts w:eastAsia="Calibri"/>
          <w:sz w:val="22"/>
          <w:szCs w:val="22"/>
          <w:lang w:eastAsia="en-US"/>
        </w:rPr>
      </w:pPr>
      <w:bookmarkStart w:id="0" w:name="117"/>
      <w:bookmarkStart w:id="1" w:name="118"/>
      <w:bookmarkEnd w:id="0"/>
      <w:bookmarkEnd w:id="1"/>
    </w:p>
    <w:p w14:paraId="2C2D82F1" w14:textId="0CDD190C" w:rsidR="0082092C" w:rsidRPr="0082092C" w:rsidRDefault="0082092C" w:rsidP="0082092C">
      <w:pPr>
        <w:spacing w:line="256" w:lineRule="auto"/>
        <w:ind w:firstLine="567"/>
        <w:jc w:val="right"/>
        <w:rPr>
          <w:rFonts w:eastAsia="Calibri"/>
          <w:sz w:val="22"/>
          <w:szCs w:val="22"/>
          <w:lang w:eastAsia="en-US"/>
        </w:rPr>
      </w:pPr>
      <w:r w:rsidRPr="0082092C">
        <w:rPr>
          <w:rFonts w:eastAsia="Calibri"/>
          <w:sz w:val="22"/>
          <w:szCs w:val="22"/>
          <w:lang w:eastAsia="en-US"/>
        </w:rPr>
        <w:t>Приложение 6 к лоту</w:t>
      </w:r>
    </w:p>
    <w:p w14:paraId="03C98318" w14:textId="77777777" w:rsidR="0082092C" w:rsidRPr="0082092C" w:rsidRDefault="0082092C" w:rsidP="0082092C">
      <w:pPr>
        <w:spacing w:line="256" w:lineRule="auto"/>
        <w:ind w:firstLine="567"/>
        <w:jc w:val="center"/>
        <w:rPr>
          <w:rFonts w:eastAsia="Calibri"/>
          <w:sz w:val="22"/>
          <w:szCs w:val="22"/>
          <w:lang w:eastAsia="en-US"/>
        </w:rPr>
      </w:pPr>
      <w:r w:rsidRPr="0082092C">
        <w:rPr>
          <w:rFonts w:eastAsia="Calibri"/>
          <w:sz w:val="22"/>
          <w:szCs w:val="22"/>
          <w:lang w:eastAsia="en-US"/>
        </w:rPr>
        <w:t>Технические характеристики (описание)</w:t>
      </w:r>
    </w:p>
    <w:p w14:paraId="64B6EE48" w14:textId="4538A081" w:rsidR="0082092C" w:rsidRPr="0082092C" w:rsidRDefault="0082092C" w:rsidP="0082092C">
      <w:pPr>
        <w:spacing w:line="256" w:lineRule="auto"/>
        <w:ind w:firstLine="567"/>
        <w:jc w:val="center"/>
        <w:rPr>
          <w:rFonts w:eastAsia="Calibri"/>
          <w:sz w:val="22"/>
          <w:szCs w:val="22"/>
          <w:lang w:eastAsia="en-US"/>
        </w:rPr>
      </w:pPr>
    </w:p>
    <w:p w14:paraId="58E033B2" w14:textId="77777777" w:rsidR="0082092C" w:rsidRPr="0082092C" w:rsidRDefault="0082092C" w:rsidP="0082092C">
      <w:pPr>
        <w:spacing w:after="120" w:line="257" w:lineRule="auto"/>
        <w:ind w:firstLine="567"/>
        <w:rPr>
          <w:rFonts w:eastAsia="Calibri"/>
          <w:sz w:val="22"/>
          <w:szCs w:val="22"/>
          <w:lang w:eastAsia="en-US"/>
        </w:rPr>
      </w:pPr>
      <w:r w:rsidRPr="0082092C">
        <w:rPr>
          <w:rFonts w:eastAsia="Calibri"/>
          <w:sz w:val="22"/>
          <w:szCs w:val="22"/>
          <w:lang w:eastAsia="en-US"/>
        </w:rPr>
        <w:t>1.</w:t>
      </w:r>
      <w:r w:rsidRPr="0082092C">
        <w:rPr>
          <w:rFonts w:eastAsia="Calibri"/>
          <w:sz w:val="22"/>
          <w:szCs w:val="22"/>
          <w:lang w:eastAsia="en-US"/>
        </w:rPr>
        <w:tab/>
        <w:t>Состав (комплектация) товара (работы, услуги):</w:t>
      </w:r>
    </w:p>
    <w:tbl>
      <w:tblPr>
        <w:tblStyle w:val="7"/>
        <w:tblW w:w="5000" w:type="pct"/>
        <w:tblLook w:val="04A0" w:firstRow="1" w:lastRow="0" w:firstColumn="1" w:lastColumn="0" w:noHBand="0" w:noVBand="1"/>
      </w:tblPr>
      <w:tblGrid>
        <w:gridCol w:w="610"/>
        <w:gridCol w:w="2299"/>
        <w:gridCol w:w="6157"/>
        <w:gridCol w:w="829"/>
        <w:gridCol w:w="16"/>
      </w:tblGrid>
      <w:tr w:rsidR="0082092C" w:rsidRPr="0082092C" w14:paraId="2340EF24" w14:textId="77777777" w:rsidTr="0082092C">
        <w:trPr>
          <w:gridAfter w:val="1"/>
          <w:wAfter w:w="8" w:type="pct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C10F4" w14:textId="77777777" w:rsidR="0082092C" w:rsidRPr="0082092C" w:rsidRDefault="0082092C" w:rsidP="008209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31996" w14:textId="77777777" w:rsidR="0082092C" w:rsidRPr="0082092C" w:rsidRDefault="0082092C" w:rsidP="008209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3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96B20" w14:textId="77777777" w:rsidR="0082092C" w:rsidRPr="0082092C" w:rsidRDefault="0082092C" w:rsidP="0082092C">
            <w:pPr>
              <w:ind w:firstLine="16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FB072" w14:textId="77777777" w:rsidR="0082092C" w:rsidRPr="0082092C" w:rsidRDefault="0082092C" w:rsidP="008209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82092C" w:rsidRPr="0082092C" w14:paraId="2AAD87B6" w14:textId="77777777" w:rsidTr="0082092C">
        <w:trPr>
          <w:trHeight w:val="137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2F6DF" w14:textId="77777777" w:rsidR="0082092C" w:rsidRPr="0082092C" w:rsidRDefault="0082092C" w:rsidP="0082092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584BC" w14:textId="77777777" w:rsidR="0082092C" w:rsidRPr="0082092C" w:rsidRDefault="0082092C" w:rsidP="0082092C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2092C">
              <w:rPr>
                <w:bCs/>
                <w:sz w:val="22"/>
                <w:szCs w:val="22"/>
              </w:rPr>
              <w:t xml:space="preserve">Буфер </w:t>
            </w:r>
            <w:proofErr w:type="spellStart"/>
            <w:r w:rsidRPr="0082092C">
              <w:rPr>
                <w:bCs/>
                <w:sz w:val="22"/>
                <w:szCs w:val="22"/>
              </w:rPr>
              <w:t>демаскировочный</w:t>
            </w:r>
            <w:proofErr w:type="spellEnd"/>
            <w:r w:rsidRPr="0082092C">
              <w:rPr>
                <w:bCs/>
                <w:sz w:val="22"/>
                <w:szCs w:val="22"/>
              </w:rPr>
              <w:t xml:space="preserve"> концентрат (низкий)</w:t>
            </w:r>
          </w:p>
        </w:tc>
        <w:tc>
          <w:tcPr>
            <w:tcW w:w="3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CADA" w14:textId="77777777" w:rsidR="0082092C" w:rsidRPr="0082092C" w:rsidRDefault="0082092C" w:rsidP="0082092C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ab/>
              <w:t>Назначение – для температурной демаскировки антигенов, фиксированных в формалине и залитых в парафин тканевых срезов.</w:t>
            </w:r>
          </w:p>
          <w:p w14:paraId="1FF013FE" w14:textId="77777777" w:rsidR="0082092C" w:rsidRPr="0082092C" w:rsidRDefault="0082092C" w:rsidP="0082092C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ab/>
              <w:t>Концентрированная форма (не менее 10х), в расчете не менее 10л готового к использованию раствора буфера.</w:t>
            </w:r>
          </w:p>
          <w:p w14:paraId="583BC86B" w14:textId="77777777" w:rsidR="0082092C" w:rsidRPr="0082092C" w:rsidRDefault="0082092C" w:rsidP="0082092C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3.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ab/>
              <w:t>рН готового к использованию раствора не менее 6,0-6,5</w:t>
            </w:r>
          </w:p>
          <w:p w14:paraId="0884A636" w14:textId="77777777" w:rsidR="0082092C" w:rsidRPr="0082092C" w:rsidRDefault="0082092C" w:rsidP="0082092C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4.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ab/>
              <w:t>Вид буферного раствора – цитратный.</w:t>
            </w:r>
          </w:p>
          <w:p w14:paraId="63E92A53" w14:textId="77777777" w:rsidR="0082092C" w:rsidRPr="0082092C" w:rsidRDefault="0082092C" w:rsidP="0082092C">
            <w:pPr>
              <w:ind w:left="3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5.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ab/>
              <w:t xml:space="preserve">Совместимость с автоматизированными системами для депарафинизации, демаскировки типа </w:t>
            </w:r>
            <w:r w:rsidRPr="0082092C">
              <w:rPr>
                <w:rFonts w:eastAsia="Calibri"/>
                <w:sz w:val="22"/>
                <w:szCs w:val="22"/>
                <w:lang w:val="en-US" w:eastAsia="en-US"/>
              </w:rPr>
              <w:t>PT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82092C">
              <w:rPr>
                <w:rFonts w:eastAsia="Calibri"/>
                <w:sz w:val="22"/>
                <w:szCs w:val="22"/>
                <w:lang w:val="en-US" w:eastAsia="en-US"/>
              </w:rPr>
              <w:t>Link</w:t>
            </w:r>
            <w:r w:rsidRPr="0082092C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9A1A6" w14:textId="77777777" w:rsidR="0082092C" w:rsidRPr="0082092C" w:rsidRDefault="0082092C" w:rsidP="0082092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2092C">
              <w:rPr>
                <w:rFonts w:eastAsia="Calibri"/>
                <w:sz w:val="22"/>
                <w:szCs w:val="22"/>
                <w:lang w:eastAsia="en-US"/>
              </w:rPr>
              <w:t>1 л</w:t>
            </w:r>
          </w:p>
        </w:tc>
      </w:tr>
    </w:tbl>
    <w:p w14:paraId="5E3C0929" w14:textId="77777777" w:rsidR="0082092C" w:rsidRPr="0082092C" w:rsidRDefault="0082092C" w:rsidP="0082092C">
      <w:pPr>
        <w:spacing w:before="12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82092C">
        <w:rPr>
          <w:rFonts w:eastAsia="Calibri"/>
          <w:sz w:val="22"/>
          <w:szCs w:val="22"/>
          <w:lang w:eastAsia="en-US"/>
        </w:rPr>
        <w:t>2.</w:t>
      </w:r>
      <w:r w:rsidRPr="0082092C">
        <w:rPr>
          <w:rFonts w:eastAsia="Calibri"/>
          <w:sz w:val="22"/>
          <w:szCs w:val="22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п.1, «Требования, предъявляемые к товару».</w:t>
      </w:r>
    </w:p>
    <w:p w14:paraId="40386501" w14:textId="77777777" w:rsidR="0082092C" w:rsidRPr="0082092C" w:rsidRDefault="0082092C" w:rsidP="0082092C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82092C">
        <w:rPr>
          <w:rFonts w:eastAsia="Calibri"/>
          <w:sz w:val="22"/>
          <w:szCs w:val="22"/>
          <w:lang w:eastAsia="en-US"/>
        </w:rPr>
        <w:t>3.</w:t>
      </w:r>
      <w:r w:rsidRPr="0082092C">
        <w:rPr>
          <w:rFonts w:eastAsia="Calibri"/>
          <w:sz w:val="22"/>
          <w:szCs w:val="22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6 месяцев.</w:t>
      </w:r>
    </w:p>
    <w:p w14:paraId="51EADC58" w14:textId="77777777" w:rsidR="0082092C" w:rsidRPr="0082092C" w:rsidRDefault="0082092C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82092C" w:rsidRPr="0082092C" w:rsidSect="0082092C">
      <w:pgSz w:w="11906" w:h="16838"/>
      <w:pgMar w:top="426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7B063" w14:textId="77777777" w:rsidR="00970EE2" w:rsidRDefault="00970EE2" w:rsidP="00FC098D">
      <w:r>
        <w:separator/>
      </w:r>
    </w:p>
  </w:endnote>
  <w:endnote w:type="continuationSeparator" w:id="0">
    <w:p w14:paraId="3EC72198" w14:textId="77777777" w:rsidR="00970EE2" w:rsidRDefault="00970EE2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AB5D3" w14:textId="77777777" w:rsidR="00970EE2" w:rsidRDefault="00970EE2" w:rsidP="00FC098D">
      <w:r>
        <w:separator/>
      </w:r>
    </w:p>
  </w:footnote>
  <w:footnote w:type="continuationSeparator" w:id="0">
    <w:p w14:paraId="17EABF69" w14:textId="77777777" w:rsidR="00970EE2" w:rsidRDefault="00970EE2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5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6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3"/>
  </w:num>
  <w:num w:numId="2" w16cid:durableId="18967259">
    <w:abstractNumId w:val="5"/>
  </w:num>
  <w:num w:numId="3" w16cid:durableId="625355089">
    <w:abstractNumId w:val="0"/>
  </w:num>
  <w:num w:numId="4" w16cid:durableId="583615165">
    <w:abstractNumId w:val="6"/>
  </w:num>
  <w:num w:numId="5" w16cid:durableId="1700273305">
    <w:abstractNumId w:val="2"/>
  </w:num>
  <w:num w:numId="6" w16cid:durableId="2014262550">
    <w:abstractNumId w:val="4"/>
  </w:num>
  <w:num w:numId="7" w16cid:durableId="162354051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03C5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4226A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09E9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2092C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74C4"/>
    <w:rsid w:val="00962974"/>
    <w:rsid w:val="00964012"/>
    <w:rsid w:val="00964BF1"/>
    <w:rsid w:val="00970050"/>
    <w:rsid w:val="00970EE2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16856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01C6"/>
    <w:rsid w:val="00F53F43"/>
    <w:rsid w:val="00F77884"/>
    <w:rsid w:val="00F8451F"/>
    <w:rsid w:val="00F911C1"/>
    <w:rsid w:val="00F933D2"/>
    <w:rsid w:val="00FA1C74"/>
    <w:rsid w:val="00FA33D2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Сетка таблицы3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b"/>
    <w:uiPriority w:val="39"/>
    <w:rsid w:val="0082092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2026-06-12T10:34:00Z</dcterms:modified>
</cp:coreProperties>
</file>