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pPr>
      <w:r>
        <w:rPr>
          <w:rFonts w:hint="default" w:ascii="Times New Roman" w:hAnsi="Times New Roman" w:cs="Times New Roman"/>
          <w:b w:val="0"/>
          <w:bCs w:val="0"/>
          <w:i w:val="0"/>
          <w:iCs w:val="0"/>
          <w:sz w:val="28"/>
          <w:szCs w:val="28"/>
          <w:lang w:val="ru-RU"/>
        </w:rPr>
        <w:t xml:space="preserve">                                                             </w:t>
      </w:r>
      <w:r>
        <w:rPr>
          <w:rFonts w:hint="default" w:ascii="Times New Roman" w:hAnsi="Times New Roman" w:cs="Times New Roman"/>
          <w:b w:val="0"/>
          <w:bCs w:val="0"/>
          <w:i w:val="0"/>
          <w:iCs w:val="0"/>
          <w:sz w:val="28"/>
          <w:szCs w:val="28"/>
        </w:rPr>
        <w:t>УТВЕРЖДАЮ</w:t>
      </w:r>
    </w:p>
    <w:p>
      <w:pPr>
        <w:pStyle w:val="17"/>
        <w:jc w:val="left"/>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                                                                                     Г</w:t>
      </w:r>
      <w:r>
        <w:rPr>
          <w:rFonts w:ascii="Times New Roman" w:hAnsi="Times New Roman" w:cs="Times New Roman"/>
          <w:sz w:val="28"/>
          <w:szCs w:val="28"/>
        </w:rPr>
        <w:t>енеральн</w:t>
      </w:r>
      <w:r>
        <w:rPr>
          <w:rFonts w:ascii="Times New Roman" w:hAnsi="Times New Roman" w:cs="Times New Roman"/>
          <w:sz w:val="28"/>
          <w:szCs w:val="28"/>
          <w:lang w:val="ru-RU"/>
        </w:rPr>
        <w:t>ый</w:t>
      </w:r>
      <w:r>
        <w:rPr>
          <w:rFonts w:hint="default" w:ascii="Times New Roman" w:hAnsi="Times New Roman" w:cs="Times New Roman"/>
          <w:sz w:val="28"/>
          <w:szCs w:val="28"/>
          <w:lang w:val="ru-RU"/>
        </w:rPr>
        <w:t xml:space="preserve"> директор</w:t>
      </w:r>
    </w:p>
    <w:p>
      <w:pPr>
        <w:pStyle w:val="17"/>
        <w:jc w:val="right"/>
        <w:rPr>
          <w:rFonts w:ascii="Times New Roman" w:hAnsi="Times New Roman" w:cs="Times New Roman"/>
          <w:sz w:val="28"/>
          <w:szCs w:val="28"/>
        </w:rPr>
      </w:pPr>
      <w:r>
        <w:rPr>
          <w:rFonts w:ascii="Times New Roman" w:hAnsi="Times New Roman" w:cs="Times New Roman"/>
          <w:sz w:val="28"/>
          <w:szCs w:val="28"/>
        </w:rPr>
        <w:t>Витебского УП «Фармация»</w:t>
      </w:r>
    </w:p>
    <w:p>
      <w:pPr>
        <w:pStyle w:val="17"/>
        <w:jc w:val="right"/>
        <w:rPr>
          <w:rFonts w:ascii="Times New Roman" w:hAnsi="Times New Roman" w:cs="Times New Roman"/>
          <w:sz w:val="28"/>
          <w:szCs w:val="28"/>
        </w:rPr>
      </w:pPr>
    </w:p>
    <w:p>
      <w:pPr>
        <w:pStyle w:val="17"/>
        <w:jc w:val="center"/>
        <w:rPr>
          <w:rFonts w:hint="default" w:ascii="Times New Roman" w:hAnsi="Times New Roman" w:cs="Times New Roman"/>
          <w:sz w:val="28"/>
          <w:szCs w:val="28"/>
          <w:lang w:val="ru-RU"/>
        </w:rPr>
      </w:pPr>
      <w:r>
        <w:rPr>
          <w:rFonts w:ascii="Times New Roman" w:hAnsi="Times New Roman" w:cs="Times New Roman"/>
          <w:sz w:val="28"/>
          <w:szCs w:val="28"/>
        </w:rPr>
        <w:t xml:space="preserve">                                                                                   __________ </w:t>
      </w:r>
      <w:r>
        <w:rPr>
          <w:rFonts w:ascii="Times New Roman" w:hAnsi="Times New Roman" w:cs="Times New Roman"/>
          <w:sz w:val="28"/>
          <w:szCs w:val="28"/>
          <w:lang w:val="ru-RU"/>
        </w:rPr>
        <w:t>Е</w:t>
      </w:r>
      <w:r>
        <w:rPr>
          <w:rFonts w:hint="default" w:ascii="Times New Roman" w:hAnsi="Times New Roman" w:cs="Times New Roman"/>
          <w:sz w:val="28"/>
          <w:szCs w:val="28"/>
          <w:lang w:val="ru-RU"/>
        </w:rPr>
        <w:t>.С. Борисеевич</w:t>
      </w:r>
    </w:p>
    <w:p>
      <w:pPr>
        <w:pStyle w:val="17"/>
        <w:jc w:val="right"/>
        <w:rPr>
          <w:rFonts w:ascii="Times New Roman" w:hAnsi="Times New Roman" w:cs="Times New Roman"/>
          <w:sz w:val="28"/>
          <w:szCs w:val="28"/>
        </w:rPr>
      </w:pPr>
      <w:r>
        <w:rPr>
          <w:rFonts w:ascii="Times New Roman" w:hAnsi="Times New Roman" w:cs="Times New Roman"/>
          <w:sz w:val="28"/>
          <w:szCs w:val="28"/>
        </w:rPr>
        <w:t xml:space="preserve"> </w:t>
      </w:r>
    </w:p>
    <w:p>
      <w:pPr>
        <w:pStyle w:val="17"/>
        <w:jc w:val="center"/>
        <w:rPr>
          <w:rFonts w:ascii="Times New Roman" w:hAnsi="Times New Roman" w:cs="Times New Roman"/>
          <w:sz w:val="24"/>
          <w:szCs w:val="24"/>
        </w:rPr>
      </w:pPr>
      <w:r>
        <w:rPr>
          <w:rFonts w:ascii="Times New Roman" w:hAnsi="Times New Roman" w:cs="Times New Roman"/>
          <w:sz w:val="28"/>
          <w:szCs w:val="28"/>
        </w:rPr>
        <w:t xml:space="preserve">                                                                                    «___» _____________20___</w:t>
      </w:r>
      <w:r>
        <w:rPr>
          <w:rFonts w:ascii="Times New Roman" w:hAnsi="Times New Roman" w:cs="Times New Roman"/>
          <w:sz w:val="24"/>
          <w:szCs w:val="24"/>
        </w:rPr>
        <w:t>г.</w:t>
      </w:r>
    </w:p>
    <w:p>
      <w:pPr>
        <w:pStyle w:val="15"/>
        <w:jc w:val="both"/>
        <w:rPr>
          <w:color w:val="000000"/>
          <w:sz w:val="28"/>
          <w:szCs w:val="28"/>
        </w:rPr>
      </w:pPr>
    </w:p>
    <w:p>
      <w:pPr>
        <w:pStyle w:val="15"/>
        <w:jc w:val="center"/>
        <w:rPr>
          <w:color w:val="000000"/>
          <w:sz w:val="28"/>
          <w:szCs w:val="28"/>
        </w:rPr>
      </w:pPr>
      <w:r>
        <w:rPr>
          <w:color w:val="000000"/>
          <w:sz w:val="28"/>
          <w:szCs w:val="28"/>
        </w:rPr>
        <w:t>АУКЦИОННЫЕ ДОКУМЕНТЫ</w:t>
      </w:r>
    </w:p>
    <w:p>
      <w:pPr>
        <w:pStyle w:val="15"/>
        <w:jc w:val="center"/>
        <w:rPr>
          <w:color w:val="000000"/>
          <w:sz w:val="28"/>
          <w:szCs w:val="28"/>
        </w:rPr>
      </w:pPr>
    </w:p>
    <w:p>
      <w:pPr>
        <w:pStyle w:val="15"/>
        <w:jc w:val="center"/>
        <w:rPr>
          <w:rFonts w:hint="default"/>
          <w:color w:val="000000"/>
          <w:sz w:val="28"/>
          <w:szCs w:val="28"/>
          <w:lang w:val="ru-RU"/>
        </w:rPr>
      </w:pPr>
      <w:r>
        <w:rPr>
          <w:color w:val="000000"/>
          <w:sz w:val="28"/>
          <w:szCs w:val="28"/>
        </w:rPr>
        <w:t>Витебское торгово-производственное республиканское унитарное предприятие «Фармация»</w:t>
      </w:r>
    </w:p>
    <w:p>
      <w:pPr>
        <w:pStyle w:val="15"/>
        <w:jc w:val="center"/>
        <w:rPr>
          <w:color w:val="000000"/>
          <w:sz w:val="28"/>
          <w:szCs w:val="28"/>
        </w:rPr>
      </w:pPr>
      <w:r>
        <w:rPr>
          <w:color w:val="000000"/>
          <w:sz w:val="28"/>
          <w:szCs w:val="28"/>
        </w:rPr>
        <w:t>Электронный аукцион</w:t>
      </w:r>
      <w:bookmarkStart w:id="0" w:name="_Hlk137796784"/>
      <w:r>
        <w:rPr>
          <w:color w:val="000000"/>
          <w:sz w:val="28"/>
          <w:szCs w:val="28"/>
        </w:rPr>
        <w:t xml:space="preserve"> «</w:t>
      </w:r>
      <w:r>
        <w:rPr>
          <w:rFonts w:hint="default"/>
          <w:color w:val="000000"/>
          <w:sz w:val="28"/>
          <w:szCs w:val="28"/>
          <w:lang w:val="ru-RU"/>
        </w:rPr>
        <w:t>26-4 Лекарственное средство Руфинамид (зарегистрированное/незарегистрированное ЛС)</w:t>
      </w:r>
      <w:r>
        <w:rPr>
          <w:color w:val="000000"/>
          <w:sz w:val="28"/>
          <w:szCs w:val="28"/>
        </w:rPr>
        <w:t xml:space="preserve">» </w:t>
      </w:r>
      <w:bookmarkEnd w:id="0"/>
    </w:p>
    <w:p>
      <w:pPr>
        <w:pStyle w:val="15"/>
        <w:jc w:val="both"/>
      </w:pPr>
    </w:p>
    <w:p>
      <w:pPr>
        <w:pStyle w:val="15"/>
        <w:jc w:val="center"/>
      </w:pPr>
      <w:r>
        <w:rPr>
          <w:b/>
        </w:rPr>
        <w:t>I. ПРИГЛАШЕНИЕ</w:t>
      </w:r>
    </w:p>
    <w:p>
      <w:pPr>
        <w:pStyle w:val="15"/>
        <w:jc w:val="center"/>
      </w:pPr>
      <w:r>
        <w:rPr>
          <w:b/>
        </w:rPr>
        <w:t>К УЧАСТИЮ В ПРОЦЕДУРЕ ГОСУДАРСТВЕННОЙ ЗАКУПКИ</w:t>
      </w:r>
    </w:p>
    <w:p>
      <w:pPr>
        <w:pStyle w:val="15"/>
        <w:jc w:val="both"/>
      </w:pPr>
    </w:p>
    <w:tbl>
      <w:tblPr>
        <w:tblStyle w:val="4"/>
        <w:tblW w:w="97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4248"/>
        <w:gridCol w:w="67"/>
        <w:gridCol w:w="5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315" w:type="dxa"/>
            <w:gridSpan w:val="2"/>
            <w:vAlign w:val="center"/>
          </w:tcPr>
          <w:p>
            <w:pPr>
              <w:pStyle w:val="15"/>
              <w:jc w:val="center"/>
            </w:pPr>
            <w:r>
              <w:t>Вид процедуры государственной закупки</w:t>
            </w:r>
          </w:p>
        </w:tc>
        <w:tc>
          <w:tcPr>
            <w:tcW w:w="5386" w:type="dxa"/>
            <w:vAlign w:val="center"/>
          </w:tcPr>
          <w:p>
            <w:pPr>
              <w:pStyle w:val="15"/>
              <w:jc w:val="center"/>
            </w:pPr>
            <w:r>
              <w:t>Электронный аукцион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701" w:type="dxa"/>
            <w:gridSpan w:val="3"/>
            <w:vAlign w:val="center"/>
          </w:tcPr>
          <w:p>
            <w:pPr>
              <w:pStyle w:val="15"/>
              <w:jc w:val="center"/>
            </w:pPr>
            <w:r>
              <w:rPr>
                <w:b/>
              </w:rPr>
              <w:t xml:space="preserve">Сведения о заказчике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248" w:type="dxa"/>
          </w:tcPr>
          <w:p>
            <w:pPr>
              <w:pStyle w:val="15"/>
              <w:rPr>
                <w:b/>
              </w:rPr>
            </w:pPr>
            <w:r>
              <w:t>Наименование (для юридического лица) либо фамилия, собственное имя, отчество (при наличии) (для индивидуального предпринимателя)</w:t>
            </w:r>
          </w:p>
        </w:tc>
        <w:tc>
          <w:tcPr>
            <w:tcW w:w="5453" w:type="dxa"/>
            <w:gridSpan w:val="2"/>
          </w:tcPr>
          <w:p>
            <w:pPr>
              <w:pStyle w:val="15"/>
              <w:rPr>
                <w:b/>
              </w:rPr>
            </w:pPr>
            <w:r>
              <w:rPr>
                <w:b/>
              </w:rPr>
              <w:t>Изложено в приложении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248" w:type="dxa"/>
          </w:tcPr>
          <w:p>
            <w:pPr>
              <w:pStyle w:val="15"/>
              <w:rPr>
                <w:b/>
              </w:rPr>
            </w:pPr>
            <w:r>
              <w:t>Место нахождения (для юридического лица) либо место жительства (для индивидуального предпринимателя)</w:t>
            </w:r>
          </w:p>
        </w:tc>
        <w:tc>
          <w:tcPr>
            <w:tcW w:w="5453" w:type="dxa"/>
            <w:gridSpan w:val="2"/>
          </w:tcPr>
          <w:p>
            <w:pPr>
              <w:pStyle w:val="15"/>
              <w:rPr>
                <w:b/>
              </w:rPr>
            </w:pPr>
            <w:r>
              <w:rPr>
                <w:b/>
              </w:rPr>
              <w:t>Изложено в приложении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248" w:type="dxa"/>
          </w:tcPr>
          <w:p>
            <w:pPr>
              <w:pStyle w:val="15"/>
              <w:rPr>
                <w:b/>
              </w:rPr>
            </w:pPr>
            <w:r>
              <w:t>Учетный номер плательщика (при наличии)</w:t>
            </w:r>
          </w:p>
        </w:tc>
        <w:tc>
          <w:tcPr>
            <w:tcW w:w="5453" w:type="dxa"/>
            <w:gridSpan w:val="2"/>
          </w:tcPr>
          <w:p>
            <w:pPr>
              <w:pStyle w:val="15"/>
              <w:rPr>
                <w:b/>
              </w:rPr>
            </w:pPr>
            <w:r>
              <w:rPr>
                <w:b/>
              </w:rPr>
              <w:t>Изложено в приложении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701" w:type="dxa"/>
            <w:gridSpan w:val="3"/>
            <w:vAlign w:val="center"/>
          </w:tcPr>
          <w:p>
            <w:pPr>
              <w:pStyle w:val="15"/>
              <w:jc w:val="center"/>
            </w:pPr>
            <w:r>
              <w:rPr>
                <w:b/>
              </w:rPr>
              <w:t xml:space="preserve">Сведения об организаторе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315" w:type="dxa"/>
            <w:gridSpan w:val="2"/>
          </w:tcPr>
          <w:p>
            <w:pPr>
              <w:pStyle w:val="15"/>
            </w:pPr>
            <w:r>
              <w:t>Наименование юридического лица</w:t>
            </w:r>
          </w:p>
        </w:tc>
        <w:tc>
          <w:tcPr>
            <w:tcW w:w="5386" w:type="dxa"/>
          </w:tcPr>
          <w:p>
            <w:pPr>
              <w:pStyle w:val="15"/>
            </w:pPr>
            <w:r>
              <w:rPr>
                <w:szCs w:val="24"/>
              </w:rPr>
              <w:t>Витебское торгово-производственное республиканское унитарное предприятие «Фармация»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315" w:type="dxa"/>
            <w:gridSpan w:val="2"/>
          </w:tcPr>
          <w:p>
            <w:pPr>
              <w:pStyle w:val="15"/>
            </w:pPr>
            <w:r>
              <w:t>Место нахождения</w:t>
            </w:r>
          </w:p>
        </w:tc>
        <w:tc>
          <w:tcPr>
            <w:tcW w:w="5386" w:type="dxa"/>
          </w:tcPr>
          <w:p>
            <w:pPr>
              <w:pStyle w:val="15"/>
            </w:pPr>
            <w:r>
              <w:rPr>
                <w:szCs w:val="24"/>
              </w:rPr>
              <w:t>г. Витебск, Великолукский тракт, 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315" w:type="dxa"/>
            <w:gridSpan w:val="2"/>
          </w:tcPr>
          <w:p>
            <w:pPr>
              <w:pStyle w:val="15"/>
            </w:pPr>
            <w:r>
              <w:t>Учетный номер плательщика (при наличии)</w:t>
            </w:r>
          </w:p>
        </w:tc>
        <w:tc>
          <w:tcPr>
            <w:tcW w:w="5386" w:type="dxa"/>
          </w:tcPr>
          <w:p>
            <w:pPr>
              <w:pStyle w:val="15"/>
            </w:pPr>
            <w:r>
              <w:rPr>
                <w:szCs w:val="24"/>
              </w:rPr>
              <w:t>300149691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701" w:type="dxa"/>
            <w:gridSpan w:val="3"/>
            <w:vAlign w:val="center"/>
          </w:tcPr>
          <w:p>
            <w:pPr>
              <w:pStyle w:val="15"/>
              <w:jc w:val="center"/>
              <w:rPr>
                <w:b/>
              </w:rPr>
            </w:pPr>
          </w:p>
          <w:p>
            <w:pPr>
              <w:pStyle w:val="15"/>
              <w:jc w:val="center"/>
            </w:pPr>
            <w:r>
              <w:rPr>
                <w:b/>
              </w:rPr>
              <w:t>Сведения об электронном аукционе</w:t>
            </w:r>
          </w:p>
        </w:tc>
      </w:tr>
    </w:tbl>
    <w:p>
      <w:pPr>
        <w:pStyle w:val="15"/>
        <w:sectPr>
          <w:headerReference r:id="rId3" w:type="default"/>
          <w:footerReference r:id="rId4" w:type="default"/>
          <w:pgSz w:w="11905" w:h="16838"/>
          <w:pgMar w:top="1134" w:right="850" w:bottom="1134" w:left="1701" w:header="0" w:footer="0" w:gutter="0"/>
          <w:pgNumType w:start="1"/>
          <w:cols w:space="720" w:num="1"/>
        </w:sectPr>
      </w:pPr>
    </w:p>
    <w:tbl>
      <w:tblPr>
        <w:tblStyle w:val="4"/>
        <w:tblW w:w="97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4315"/>
        <w:gridCol w:w="5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315" w:type="dxa"/>
          </w:tcPr>
          <w:p>
            <w:pPr>
              <w:pStyle w:val="15"/>
            </w:pPr>
            <w:r>
              <w:t>Дата истечения срока для подготовки и подачи предложений</w:t>
            </w:r>
          </w:p>
        </w:tc>
        <w:tc>
          <w:tcPr>
            <w:tcW w:w="5386" w:type="dxa"/>
          </w:tcPr>
          <w:p>
            <w:pPr>
              <w:pStyle w:val="15"/>
              <w:rPr>
                <w:rFonts w:hint="default"/>
                <w:lang w:val="ru-RU"/>
              </w:rPr>
            </w:pPr>
            <w:r>
              <w:rPr>
                <w:rFonts w:hint="default"/>
                <w:lang w:val="ru-RU"/>
              </w:rPr>
              <w:t>30.06.2026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315" w:type="dxa"/>
          </w:tcPr>
          <w:p>
            <w:pPr>
              <w:pStyle w:val="15"/>
            </w:pPr>
            <w:r>
              <w:t>Предельная стоимость предмета государственной закупки</w:t>
            </w:r>
          </w:p>
        </w:tc>
        <w:tc>
          <w:tcPr>
            <w:tcW w:w="5386" w:type="dxa"/>
          </w:tcPr>
          <w:p>
            <w:pPr>
              <w:pStyle w:val="15"/>
              <w:rPr>
                <w:color w:val="000000"/>
                <w:lang w:val="en-US"/>
              </w:rPr>
            </w:pPr>
            <w:r>
              <w:rPr>
                <w:color w:val="000000"/>
              </w:rPr>
              <w:t>Изложена в Приложении №</w:t>
            </w:r>
            <w:r>
              <w:rPr>
                <w:color w:val="000000"/>
                <w:lang w:val="en-US"/>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4315" w:type="dxa"/>
          </w:tcPr>
          <w:p>
            <w:pPr>
              <w:pStyle w:val="15"/>
            </w:pPr>
            <w:r>
              <w:t xml:space="preserve">Требования к участникам, документы и (или) сведения для проверки требований к участникам </w:t>
            </w:r>
            <w:r>
              <w:fldChar w:fldCharType="begin"/>
            </w:r>
            <w:r>
              <w:instrText xml:space="preserve"> HYPERLINK \l "P140" </w:instrText>
            </w:r>
            <w:r>
              <w:fldChar w:fldCharType="separate"/>
            </w:r>
            <w:r>
              <w:fldChar w:fldCharType="end"/>
            </w:r>
            <w:r>
              <w:t xml:space="preserve"> </w:t>
            </w:r>
          </w:p>
        </w:tc>
        <w:tc>
          <w:tcPr>
            <w:tcW w:w="5386" w:type="dxa"/>
          </w:tcPr>
          <w:p>
            <w:pPr>
              <w:pStyle w:val="15"/>
              <w:jc w:val="both"/>
              <w:rPr>
                <w:szCs w:val="24"/>
              </w:rPr>
            </w:pPr>
            <w:r>
              <w:rPr>
                <w:szCs w:val="24"/>
              </w:rPr>
              <w:t>1.Участником признается юридическое или физическое лицо, в том числе индивидуальный предприниматель, представившие предложение.</w:t>
            </w:r>
          </w:p>
          <w:p>
            <w:pPr>
              <w:autoSpaceDE w:val="0"/>
              <w:autoSpaceDN w:val="0"/>
              <w:adjustRightInd w:val="0"/>
              <w:jc w:val="both"/>
            </w:pPr>
            <w:r>
              <w:t>2. При проведении процедуры государственной закупки к участникам предъявляются следующие требования:</w:t>
            </w:r>
          </w:p>
          <w:p>
            <w:pPr>
              <w:jc w:val="both"/>
            </w:pPr>
            <w:r>
              <w:t>2.1.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 а именно:</w:t>
            </w:r>
          </w:p>
          <w:p>
            <w:pPr>
              <w:jc w:val="both"/>
              <w:rPr>
                <w:b/>
              </w:rPr>
            </w:pPr>
            <w:r>
              <w:rPr>
                <w:b/>
              </w:rPr>
              <w:t>-разрешение (лицензия) на осуществление деятельности (фармацевтической деятельности) по производству или дистрибьюции* лекарственных средств, выданное уполномоченным органом страны участника.**</w:t>
            </w:r>
          </w:p>
          <w:p>
            <w:pPr>
              <w:jc w:val="both"/>
              <w:rPr>
                <w:b/>
              </w:rPr>
            </w:pPr>
            <w:r>
              <w:rPr>
                <w:b/>
              </w:rPr>
              <w:t>В случае, если к поставке предлагается наркотическое средство или психотропное вещество, участник обязан предоставить разрешение (лицензию) на деятельность, связанную с оборотом наркотических средств, психотропных веществ и их прекурсоров.</w:t>
            </w:r>
          </w:p>
          <w:p>
            <w:pPr>
              <w:jc w:val="both"/>
              <w:rPr>
                <w:i/>
              </w:rPr>
            </w:pPr>
            <w:r>
              <w:rPr>
                <w:i/>
              </w:rPr>
              <w:t>*дистрибьюция" - деятельность, связанная с закупкой (закупом, приобретением), хранением, ввозом (импортом), вывозом (экспортом), реализацией (за исключением реализации населению) без ограничения объемов и транспортировкой лекарственных средств;</w:t>
            </w:r>
          </w:p>
          <w:p>
            <w:pPr>
              <w:jc w:val="both"/>
              <w:rPr>
                <w:b/>
              </w:rPr>
            </w:pPr>
            <w:r>
              <w:rPr>
                <w:b/>
              </w:rPr>
              <w:t>** Резиденты Республики Беларусь и Российской Федерации предоставляют копию разрешения (лицензии) на фармацевтическую деятельность или выписку из Единого реестра лицензий, действующего на территории Республики Беларусь или соответственно Российской Федерации.</w:t>
            </w:r>
          </w:p>
          <w:p>
            <w:pPr>
              <w:jc w:val="both"/>
              <w:rPr>
                <w:i/>
                <w:sz w:val="20"/>
                <w:szCs w:val="20"/>
              </w:rPr>
            </w:pPr>
          </w:p>
          <w:p>
            <w:pPr>
              <w:jc w:val="both"/>
              <w:rPr>
                <w:b/>
                <w:i/>
              </w:rPr>
            </w:pPr>
            <w:r>
              <w:rPr>
                <w:b/>
                <w:i/>
              </w:rPr>
              <w:t>-документ, подтверждающий регистрацию участника в стране его происхождения:</w:t>
            </w:r>
          </w:p>
          <w:p>
            <w:pPr>
              <w:jc w:val="both"/>
              <w:rPr>
                <w:b/>
                <w:i/>
              </w:rPr>
            </w:pPr>
            <w:r>
              <w:rPr>
                <w:b/>
                <w:i/>
              </w:rPr>
              <w:t xml:space="preserve">а)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                 б) выписку из торгового реестра страны </w:t>
            </w:r>
          </w:p>
          <w:p>
            <w:pPr>
              <w:jc w:val="both"/>
              <w:rPr>
                <w:b/>
                <w:i/>
              </w:rPr>
            </w:pPr>
            <w:r>
              <w:rPr>
                <w:b/>
                <w:i/>
              </w:rPr>
              <w:t>регистрации участника (для нерезидентов стран-членов Евразийского экономического союза).</w:t>
            </w:r>
          </w:p>
          <w:p>
            <w:pPr>
              <w:jc w:val="both"/>
              <w:rPr>
                <w:b/>
                <w:i/>
              </w:rPr>
            </w:pPr>
            <w:r>
              <w:rPr>
                <w:b/>
                <w:i/>
              </w:rPr>
              <w:t>Выписка из торгового реестра страны регистрации участника должна быть выдана не ранее, чем за 12 (двенадцать) месяцев до истечения срока для подготовки и подачи предложений.</w:t>
            </w:r>
          </w:p>
          <w:p>
            <w:pPr>
              <w:jc w:val="both"/>
              <w:rPr>
                <w:rFonts w:hint="default"/>
                <w:color w:val="auto"/>
                <w:highlight w:val="none"/>
                <w:shd w:val="clear" w:color="auto" w:fill="auto"/>
                <w:lang w:val="ru-RU"/>
              </w:rPr>
            </w:pPr>
            <w:r>
              <w:t xml:space="preserve">2.2. </w:t>
            </w:r>
            <w:r>
              <w:rPr>
                <w:color w:val="auto"/>
                <w:highlight w:val="none"/>
                <w:shd w:val="clear" w:color="auto" w:fill="auto"/>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Pr>
                <w:color w:val="auto"/>
                <w:highlight w:val="none"/>
                <w:shd w:val="clear" w:color="auto" w:fill="auto"/>
              </w:rPr>
              <w:fldChar w:fldCharType="begin"/>
            </w:r>
            <w:r>
              <w:rPr>
                <w:color w:val="auto"/>
                <w:highlight w:val="none"/>
                <w:shd w:val="clear" w:color="auto" w:fill="auto"/>
              </w:rPr>
              <w:instrText xml:space="preserve"> HYPERLINK "https://normativka.by/lib/document/500074578/rev/2024051699" \t "https://normativka.by/api/document/_parent" \o "Кодекс Республики Беларусь  от 19.12.2002 № 166-З " </w:instrText>
            </w:r>
            <w:r>
              <w:rPr>
                <w:color w:val="auto"/>
                <w:highlight w:val="none"/>
                <w:shd w:val="clear" w:color="auto" w:fill="auto"/>
              </w:rPr>
              <w:fldChar w:fldCharType="separate"/>
            </w:r>
            <w:r>
              <w:rPr>
                <w:rStyle w:val="6"/>
                <w:color w:val="auto"/>
                <w:highlight w:val="none"/>
                <w:u w:val="none"/>
                <w:shd w:val="clear" w:color="auto" w:fill="auto"/>
              </w:rPr>
              <w:t>Налоговым кодексом</w:t>
            </w:r>
            <w:r>
              <w:rPr>
                <w:rStyle w:val="6"/>
                <w:color w:val="auto"/>
                <w:highlight w:val="none"/>
                <w:u w:val="none"/>
                <w:shd w:val="clear" w:color="auto" w:fill="auto"/>
              </w:rPr>
              <w:fldChar w:fldCharType="end"/>
            </w:r>
            <w:r>
              <w:rPr>
                <w:color w:val="auto"/>
                <w:highlight w:val="none"/>
                <w:shd w:val="clear" w:color="auto" w:fill="auto"/>
              </w:rPr>
              <w:t>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w:t>
            </w:r>
            <w:r>
              <w:rPr>
                <w:color w:val="auto"/>
                <w:highlight w:val="none"/>
                <w:shd w:val="clear" w:color="auto" w:fill="auto"/>
                <w:lang w:val="ru-RU"/>
              </w:rPr>
              <w:t>ь</w:t>
            </w:r>
            <w:r>
              <w:rPr>
                <w:rFonts w:hint="default"/>
                <w:color w:val="auto"/>
                <w:highlight w:val="none"/>
                <w:shd w:val="clear" w:color="auto" w:fill="auto"/>
                <w:lang w:val="ru-RU"/>
              </w:rPr>
              <w:t>, что потверждается соответствующим заявлением участника.</w:t>
            </w:r>
          </w:p>
          <w:p>
            <w:pPr>
              <w:autoSpaceDE w:val="0"/>
              <w:autoSpaceDN w:val="0"/>
              <w:adjustRightInd w:val="0"/>
              <w:spacing w:before="200"/>
              <w:jc w:val="both"/>
              <w:rPr>
                <w:b/>
                <w:color w:val="auto"/>
                <w:highlight w:val="none"/>
                <w:shd w:val="clear" w:color="auto" w:fill="auto"/>
              </w:rPr>
            </w:pPr>
            <w:r>
              <w:rPr>
                <w:b/>
                <w:color w:val="auto"/>
                <w:highlight w:val="none"/>
                <w:shd w:val="clear" w:color="auto" w:fill="auto"/>
              </w:rPr>
              <w:t>Соответствие данному требованию подтверждается предоставлением следующих документов и сведений:</w:t>
            </w:r>
          </w:p>
          <w:p>
            <w:pPr>
              <w:autoSpaceDE w:val="0"/>
              <w:autoSpaceDN w:val="0"/>
              <w:adjustRightInd w:val="0"/>
              <w:spacing w:before="200"/>
              <w:jc w:val="both"/>
              <w:rPr>
                <w:color w:val="auto"/>
                <w:highlight w:val="none"/>
                <w:shd w:val="clear" w:color="auto" w:fill="auto"/>
              </w:rPr>
            </w:pPr>
            <w:r>
              <w:rPr>
                <w:color w:val="auto"/>
                <w:highlight w:val="none"/>
                <w:shd w:val="clear" w:color="auto" w:fill="auto"/>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осуществляется рассмотрение предложения (заключается договор при проведении процедуры закупки из одного источника)</w:t>
            </w:r>
          </w:p>
          <w:p>
            <w:pPr>
              <w:autoSpaceDE w:val="0"/>
              <w:autoSpaceDN w:val="0"/>
              <w:adjustRightInd w:val="0"/>
              <w:spacing w:before="200"/>
              <w:jc w:val="both"/>
              <w:rPr>
                <w:color w:val="auto"/>
                <w:highlight w:val="none"/>
                <w:shd w:val="clear" w:color="auto" w:fill="auto"/>
              </w:rPr>
            </w:pPr>
            <w:r>
              <w:rPr>
                <w:color w:val="auto"/>
                <w:highlight w:val="none"/>
                <w:shd w:val="clear" w:color="auto" w:fill="auto"/>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(форма заявления прилагается – Приложение № </w:t>
            </w:r>
            <w:r>
              <w:rPr>
                <w:rFonts w:hint="default"/>
                <w:color w:val="auto"/>
                <w:highlight w:val="none"/>
                <w:shd w:val="clear" w:color="auto" w:fill="auto"/>
                <w:lang w:val="ru-RU"/>
              </w:rPr>
              <w:t>5</w:t>
            </w:r>
            <w:r>
              <w:rPr>
                <w:color w:val="auto"/>
                <w:highlight w:val="none"/>
                <w:shd w:val="clear" w:color="auto" w:fill="auto"/>
              </w:rPr>
              <w:t>);</w:t>
            </w:r>
          </w:p>
          <w:p>
            <w:pPr>
              <w:autoSpaceDE w:val="0"/>
              <w:autoSpaceDN w:val="0"/>
              <w:adjustRightInd w:val="0"/>
              <w:spacing w:before="200"/>
              <w:jc w:val="both"/>
              <w:rPr>
                <w:color w:val="auto"/>
                <w:highlight w:val="none"/>
                <w:shd w:val="clear" w:color="auto" w:fill="auto"/>
              </w:rPr>
            </w:pPr>
            <w:bookmarkStart w:id="1" w:name="Par8"/>
            <w:bookmarkEnd w:id="1"/>
            <w:r>
              <w:rPr>
                <w:color w:val="auto"/>
                <w:highlight w:val="none"/>
                <w:shd w:val="clear" w:color="auto" w:fill="auto"/>
              </w:rPr>
              <w:t>2.3.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указанному требованию подтверждается путем проверки оператором электронной торговой площадки списка;</w:t>
            </w:r>
          </w:p>
          <w:p>
            <w:pPr>
              <w:jc w:val="both"/>
              <w:rPr>
                <w:color w:val="auto"/>
                <w:highlight w:val="none"/>
                <w:shd w:val="clear" w:color="auto" w:fill="auto"/>
              </w:rPr>
            </w:pPr>
            <w:r>
              <w:rPr>
                <w:color w:val="auto"/>
                <w:highlight w:val="none"/>
                <w:shd w:val="clear" w:color="auto" w:fill="auto"/>
              </w:rPr>
              <w:t xml:space="preserve">2.4. </w:t>
            </w:r>
            <w:r>
              <w:rPr>
                <w:rFonts w:hint="default"/>
                <w:color w:val="auto"/>
                <w:highlight w:val="none"/>
                <w:shd w:val="clear" w:color="auto" w:fill="auto"/>
                <w:lang w:val="ru-RU"/>
              </w:rPr>
              <w:t>ю</w:t>
            </w:r>
            <w:r>
              <w:rPr>
                <w:color w:val="auto"/>
                <w:highlight w:val="none"/>
                <w:shd w:val="clear" w:color="auto" w:fill="auto"/>
              </w:rPr>
              <w:t>ридическое или физическое лицо, в том числе индивидуальный предприниматель,</w:t>
            </w:r>
            <w:r>
              <w:rPr>
                <w:color w:val="auto"/>
                <w:sz w:val="30"/>
                <w:szCs w:val="30"/>
                <w:highlight w:val="none"/>
                <w:shd w:val="clear" w:color="auto" w:fill="auto"/>
              </w:rPr>
              <w:t xml:space="preserve"> </w:t>
            </w:r>
            <w:r>
              <w:rPr>
                <w:rStyle w:val="31"/>
                <w:color w:val="auto"/>
                <w:highlight w:val="none"/>
                <w:shd w:val="clear" w:color="auto" w:fill="auto"/>
              </w:rPr>
              <w:t>с учетом положений статьи 16-1</w:t>
            </w:r>
            <w:r>
              <w:rPr>
                <w:rStyle w:val="25"/>
                <w:color w:val="auto"/>
                <w:highlight w:val="none"/>
                <w:shd w:val="clear" w:color="auto" w:fill="auto"/>
              </w:rPr>
              <w:t> </w:t>
            </w:r>
            <w:r>
              <w:rPr>
                <w:color w:val="auto"/>
                <w:highlight w:val="none"/>
                <w:shd w:val="clear" w:color="auto" w:fill="auto"/>
              </w:rPr>
              <w:t xml:space="preserve"> Закона Республики Беларусь от 13 июля 2012 года № 419-З  «О государственных закупках товаров (работ, услуг)» ( с изменениями и дополнениями) (далее-Закон) не должно быть аффилировано с заказчиком, организатором;</w:t>
            </w:r>
          </w:p>
          <w:p>
            <w:pPr>
              <w:autoSpaceDE w:val="0"/>
              <w:autoSpaceDN w:val="0"/>
              <w:adjustRightInd w:val="0"/>
              <w:spacing w:before="200"/>
              <w:jc w:val="both"/>
              <w:rPr>
                <w:color w:val="auto"/>
                <w:highlight w:val="none"/>
                <w:shd w:val="clear" w:color="auto" w:fill="auto"/>
              </w:rPr>
            </w:pPr>
            <w:r>
              <w:rPr>
                <w:color w:val="auto"/>
                <w:highlight w:val="none"/>
                <w:shd w:val="clear" w:color="auto" w:fill="auto"/>
              </w:rPr>
              <w:t xml:space="preserve">2.5. </w:t>
            </w:r>
            <w:r>
              <w:rPr>
                <w:color w:val="auto"/>
                <w:highlight w:val="none"/>
                <w:shd w:val="clear" w:color="auto" w:fill="auto"/>
                <w:lang w:val="ru-RU"/>
              </w:rPr>
              <w:t>ю</w:t>
            </w:r>
            <w:r>
              <w:rPr>
                <w:color w:val="auto"/>
                <w:highlight w:val="none"/>
                <w:shd w:val="clear" w:color="auto" w:fill="auto"/>
              </w:rPr>
              <w:t>ридическое или физическое лицо, в том числе индивидуальный предприниматель, являющееся участником-победителем,</w:t>
            </w:r>
            <w:r>
              <w:rPr>
                <w:rStyle w:val="31"/>
                <w:color w:val="auto"/>
                <w:highlight w:val="none"/>
                <w:shd w:val="clear" w:color="auto" w:fill="auto"/>
              </w:rPr>
              <w:t xml:space="preserve"> с учетом положений статьи 16-1</w:t>
            </w:r>
            <w:r>
              <w:rPr>
                <w:rStyle w:val="25"/>
                <w:color w:val="auto"/>
                <w:highlight w:val="none"/>
                <w:shd w:val="clear" w:color="auto" w:fill="auto"/>
              </w:rPr>
              <w:t> </w:t>
            </w:r>
            <w:r>
              <w:rPr>
                <w:color w:val="auto"/>
                <w:highlight w:val="none"/>
                <w:shd w:val="clear" w:color="auto" w:fill="auto"/>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pPr>
              <w:autoSpaceDE w:val="0"/>
              <w:autoSpaceDN w:val="0"/>
              <w:adjustRightInd w:val="0"/>
              <w:spacing w:before="200"/>
              <w:jc w:val="both"/>
            </w:pPr>
            <w:r>
              <w:t xml:space="preserve">2.6.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pPr>
              <w:autoSpaceDE w:val="0"/>
              <w:autoSpaceDN w:val="0"/>
              <w:adjustRightInd w:val="0"/>
              <w:spacing w:before="200"/>
              <w:jc w:val="both"/>
            </w:pPr>
            <w:r>
              <w:t>2.7.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pPr>
              <w:autoSpaceDE w:val="0"/>
              <w:autoSpaceDN w:val="0"/>
              <w:adjustRightInd w:val="0"/>
              <w:spacing w:before="200"/>
              <w:jc w:val="both"/>
            </w:pPr>
            <w:r>
              <w:t>2.8.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pPr>
              <w:autoSpaceDE w:val="0"/>
              <w:autoSpaceDN w:val="0"/>
              <w:adjustRightInd w:val="0"/>
              <w:spacing w:before="200"/>
              <w:jc w:val="both"/>
              <w:rPr>
                <w:shd w:val="clear" w:color="auto" w:fill="auto"/>
              </w:rPr>
            </w:pPr>
            <w:r>
              <w:t>2</w:t>
            </w:r>
            <w:r>
              <w:rPr>
                <w:shd w:val="clear" w:color="auto" w:fill="auto"/>
              </w:rPr>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pPr>
              <w:autoSpaceDE w:val="0"/>
              <w:autoSpaceDN w:val="0"/>
              <w:adjustRightInd w:val="0"/>
              <w:spacing w:before="200"/>
              <w:jc w:val="both"/>
              <w:rPr>
                <w:shd w:val="clear" w:color="auto" w:fill="auto"/>
              </w:rPr>
            </w:pPr>
            <w:r>
              <w:rPr>
                <w:shd w:val="clear" w:color="auto" w:fill="auto"/>
              </w:rPr>
              <w:t xml:space="preserve">2.10. в отношении юридического лица и индивидуального предпринимателя не должно быть возбуждено </w:t>
            </w:r>
            <w:r>
              <w:rPr>
                <w:shd w:val="clear" w:color="auto" w:fill="auto"/>
              </w:rPr>
              <w:fldChar w:fldCharType="begin"/>
            </w:r>
            <w:r>
              <w:rPr>
                <w:shd w:val="clear" w:color="auto" w:fill="auto"/>
              </w:rPr>
              <w:instrText xml:space="preserve"> HYPERLINK "consultantplus://offline/ref=ACF2CA347A473E7528885048A22EB4569C6C8733151A81D3DD327FFAF641F75B05220C2CEF313DAEA7F159683AY4W0L" </w:instrText>
            </w:r>
            <w:r>
              <w:rPr>
                <w:shd w:val="clear" w:color="auto" w:fill="auto"/>
              </w:rPr>
              <w:fldChar w:fldCharType="separate"/>
            </w:r>
            <w:r>
              <w:rPr>
                <w:shd w:val="clear" w:color="auto" w:fill="auto"/>
              </w:rPr>
              <w:t>производство</w:t>
            </w:r>
            <w:r>
              <w:rPr>
                <w:shd w:val="clear" w:color="auto" w:fill="auto"/>
              </w:rPr>
              <w:fldChar w:fldCharType="end"/>
            </w:r>
            <w:r>
              <w:rPr>
                <w:shd w:val="clear" w:color="auto" w:fill="auto"/>
              </w:rPr>
              <w:t xml:space="preserve"> по делу о банкротстве;</w:t>
            </w:r>
          </w:p>
          <w:p>
            <w:pPr>
              <w:autoSpaceDE w:val="0"/>
              <w:autoSpaceDN w:val="0"/>
              <w:adjustRightInd w:val="0"/>
              <w:spacing w:before="200"/>
              <w:jc w:val="both"/>
              <w:rPr>
                <w:color w:val="000000" w:themeColor="text1"/>
                <w:shd w:val="clear" w:color="auto" w:fill="auto"/>
                <w14:textFill>
                  <w14:solidFill>
                    <w14:schemeClr w14:val="tx1"/>
                  </w14:solidFill>
                </w14:textFill>
              </w:rPr>
            </w:pPr>
            <w:bookmarkStart w:id="2" w:name="Par16"/>
            <w:bookmarkEnd w:id="2"/>
            <w:r>
              <w:rPr>
                <w:shd w:val="clear" w:color="auto" w:fill="auto"/>
              </w:rPr>
              <w:t>2.11.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color w:val="000000" w:themeColor="text1"/>
                <w:shd w:val="clear" w:color="auto" w:fill="auto"/>
                <w14:textFill>
                  <w14:solidFill>
                    <w14:schemeClr w14:val="tx1"/>
                  </w14:solidFill>
                </w14:textFill>
              </w:rPr>
              <w:t>;</w:t>
            </w:r>
          </w:p>
          <w:p>
            <w:pPr>
              <w:shd w:val="clear" w:color="auto" w:fill="FFFFFF"/>
              <w:spacing w:before="160" w:after="160"/>
              <w:jc w:val="both"/>
              <w:rPr>
                <w:lang w:eastAsia="en-US"/>
              </w:rPr>
            </w:pPr>
            <w:r>
              <w:rPr>
                <w:shd w:val="clear" w:color="auto" w:fill="auto"/>
              </w:rPr>
              <w:t>2.12.</w:t>
            </w:r>
            <w:r>
              <w:rPr>
                <w:color w:val="000000"/>
                <w:shd w:val="clear" w:color="auto" w:fill="auto"/>
                <w:lang w:eastAsia="en-US"/>
              </w:rPr>
              <w:t xml:space="preserve"> физическое лицо,</w:t>
            </w:r>
            <w:r>
              <w:rPr>
                <w:color w:val="000000"/>
                <w:lang w:eastAsia="en-US"/>
              </w:rPr>
              <w:t xml:space="preserve"> в</w:t>
            </w:r>
            <w:r>
              <w:rPr>
                <w:color w:val="000000"/>
                <w:lang w:val="en-US" w:eastAsia="en-US"/>
              </w:rPr>
              <w:t> </w:t>
            </w:r>
            <w:r>
              <w:rPr>
                <w:color w:val="000000"/>
                <w:lang w:eastAsia="en-US"/>
              </w:rPr>
              <w:t>том числе индивидуальный предприниматель,</w:t>
            </w:r>
            <w:r>
              <w:rPr>
                <w:color w:val="000000"/>
                <w:lang w:val="en-US" w:eastAsia="en-US"/>
              </w:rPr>
              <w:t> </w:t>
            </w:r>
            <w:r>
              <w:rPr>
                <w:color w:val="000000"/>
                <w:lang w:eastAsia="en-US"/>
              </w:rPr>
              <w:t>– участник процедуры государственной закупки, лицо, осуществляющее полномочия единоличного исполнительного органа юридического лица</w:t>
            </w:r>
            <w:r>
              <w:rPr>
                <w:color w:val="000000"/>
                <w:lang w:val="en-US" w:eastAsia="en-US"/>
              </w:rPr>
              <w:t> </w:t>
            </w:r>
            <w:r>
              <w:rPr>
                <w:color w:val="000000"/>
                <w:lang w:eastAsia="en-US"/>
              </w:rPr>
              <w:t>– участника процедуры государственной закупки, и</w:t>
            </w:r>
            <w:r>
              <w:rPr>
                <w:color w:val="000000"/>
                <w:lang w:val="en-US" w:eastAsia="en-US"/>
              </w:rPr>
              <w:t> </w:t>
            </w:r>
            <w:r>
              <w:rPr>
                <w:color w:val="000000"/>
                <w:lang w:eastAsia="en-US"/>
              </w:rPr>
              <w:t>лицо, имеющее право давать такому юридическому лицу обязательные для</w:t>
            </w:r>
            <w:r>
              <w:rPr>
                <w:color w:val="000000"/>
                <w:lang w:val="en-US" w:eastAsia="en-US"/>
              </w:rPr>
              <w:t> </w:t>
            </w:r>
            <w:r>
              <w:rPr>
                <w:color w:val="000000"/>
                <w:lang w:eastAsia="en-US"/>
              </w:rPr>
              <w:t xml:space="preserve">исполнения указания </w:t>
            </w:r>
            <w:r>
              <w:rPr>
                <w:lang w:eastAsia="en-US"/>
              </w:rPr>
              <w:t>на</w:t>
            </w:r>
            <w:r>
              <w:rPr>
                <w:lang w:val="en-US" w:eastAsia="en-US"/>
              </w:rPr>
              <w:t> </w:t>
            </w:r>
            <w:r>
              <w:rPr>
                <w:lang w:eastAsia="en-US"/>
              </w:rPr>
              <w:t>основании учредительных документов или заключенного договора, не</w:t>
            </w:r>
            <w:r>
              <w:rPr>
                <w:lang w:val="en-US" w:eastAsia="en-US"/>
              </w:rPr>
              <w:t> </w:t>
            </w:r>
            <w:r>
              <w:rPr>
                <w:lang w:eastAsia="en-US"/>
              </w:rPr>
              <w:t>должны считаться подвергавшимися административному взысканию за</w:t>
            </w:r>
            <w:r>
              <w:rPr>
                <w:lang w:val="en-US" w:eastAsia="en-US"/>
              </w:rPr>
              <w:t> </w:t>
            </w:r>
            <w:r>
              <w:rPr>
                <w:lang w:eastAsia="en-US"/>
              </w:rPr>
              <w:t>административные правонарушения, предусмотренные в</w:t>
            </w:r>
            <w:r>
              <w:rPr>
                <w:lang w:val="en-US" w:eastAsia="en-US"/>
              </w:rPr>
              <w:t> </w:t>
            </w:r>
            <w:r>
              <w:rPr>
                <w:lang w:eastAsia="en-US"/>
              </w:rPr>
              <w:t xml:space="preserve">частях </w:t>
            </w:r>
            <w:r>
              <w:rPr>
                <w:u w:val="single"/>
                <w:lang w:eastAsia="en-US"/>
              </w:rPr>
              <w:t>1</w:t>
            </w:r>
            <w:r>
              <w:rPr>
                <w:lang w:eastAsia="en-US"/>
              </w:rPr>
              <w:t>,</w:t>
            </w:r>
            <w:r>
              <w:rPr>
                <w:lang w:val="en-US" w:eastAsia="en-US"/>
              </w:rPr>
              <w:t> </w:t>
            </w:r>
            <w:r>
              <w:fldChar w:fldCharType="begin"/>
            </w:r>
            <w:r>
              <w:instrText xml:space="preserve"> HYPERLINK "https://bii.by/tx.dll?d=447159&amp;a=502" \l "a502" \o "+" </w:instrText>
            </w:r>
            <w:r>
              <w:fldChar w:fldCharType="separate"/>
            </w:r>
            <w:r>
              <w:rPr>
                <w:u w:val="single"/>
                <w:lang w:eastAsia="en-US"/>
              </w:rPr>
              <w:t>7</w:t>
            </w:r>
            <w:r>
              <w:rPr>
                <w:u w:val="single"/>
                <w:lang w:eastAsia="en-US"/>
              </w:rPr>
              <w:fldChar w:fldCharType="end"/>
            </w:r>
            <w:r>
              <w:rPr>
                <w:lang w:eastAsia="en-US"/>
              </w:rPr>
              <w:t>, 8 и</w:t>
            </w:r>
            <w:r>
              <w:rPr>
                <w:lang w:val="en-US" w:eastAsia="en-US"/>
              </w:rPr>
              <w:t> </w:t>
            </w:r>
            <w:r>
              <w:fldChar w:fldCharType="begin"/>
            </w:r>
            <w:r>
              <w:instrText xml:space="preserve"> HYPERLINK "https://bii.by/tx.dll?d=447159&amp;a=506" \l "a506" \o "+" </w:instrText>
            </w:r>
            <w:r>
              <w:fldChar w:fldCharType="separate"/>
            </w:r>
            <w:r>
              <w:rPr>
                <w:u w:val="single"/>
                <w:lang w:eastAsia="en-US"/>
              </w:rPr>
              <w:t>10</w:t>
            </w:r>
            <w:r>
              <w:rPr>
                <w:u w:val="single"/>
                <w:lang w:eastAsia="en-US"/>
              </w:rPr>
              <w:fldChar w:fldCharType="end"/>
            </w:r>
            <w:r>
              <w:rPr>
                <w:lang w:val="en-US" w:eastAsia="en-US"/>
              </w:rPr>
              <w:t> </w:t>
            </w:r>
            <w:r>
              <w:rPr>
                <w:lang w:eastAsia="en-US"/>
              </w:rPr>
              <w:t>статьи</w:t>
            </w:r>
            <w:r>
              <w:rPr>
                <w:lang w:val="en-US" w:eastAsia="en-US"/>
              </w:rPr>
              <w:t> </w:t>
            </w:r>
            <w:r>
              <w:rPr>
                <w:lang w:eastAsia="en-US"/>
              </w:rPr>
              <w:t>14.4, частях</w:t>
            </w:r>
            <w:r>
              <w:rPr>
                <w:lang w:val="en-US" w:eastAsia="en-US"/>
              </w:rPr>
              <w:t> </w:t>
            </w:r>
            <w:r>
              <w:fldChar w:fldCharType="begin"/>
            </w:r>
            <w:r>
              <w:instrText xml:space="preserve"> HYPERLINK "https://bii.by/tx.dll?d=447159&amp;a=508" \l "a508" \o "+" </w:instrText>
            </w:r>
            <w:r>
              <w:fldChar w:fldCharType="separate"/>
            </w:r>
            <w:r>
              <w:rPr>
                <w:u w:val="single"/>
                <w:lang w:eastAsia="en-US"/>
              </w:rPr>
              <w:t>4</w:t>
            </w:r>
            <w:r>
              <w:rPr>
                <w:u w:val="single"/>
                <w:lang w:eastAsia="en-US"/>
              </w:rPr>
              <w:fldChar w:fldCharType="end"/>
            </w:r>
            <w:r>
              <w:rPr>
                <w:lang w:val="en-US" w:eastAsia="en-US"/>
              </w:rPr>
              <w:t> </w:t>
            </w:r>
            <w:r>
              <w:rPr>
                <w:lang w:eastAsia="en-US"/>
              </w:rPr>
              <w:t>и</w:t>
            </w:r>
            <w:r>
              <w:rPr>
                <w:lang w:val="en-US" w:eastAsia="en-US"/>
              </w:rPr>
              <w:t> </w:t>
            </w:r>
            <w:r>
              <w:rPr>
                <w:lang w:eastAsia="en-US"/>
              </w:rPr>
              <w:t>5 статьи</w:t>
            </w:r>
            <w:r>
              <w:rPr>
                <w:lang w:val="en-US" w:eastAsia="en-US"/>
              </w:rPr>
              <w:t> </w:t>
            </w:r>
            <w:r>
              <w:rPr>
                <w:lang w:eastAsia="en-US"/>
              </w:rPr>
              <w:t>14.5 Кодекса Республики Беларусь об</w:t>
            </w:r>
            <w:r>
              <w:rPr>
                <w:lang w:val="en-US" w:eastAsia="en-US"/>
              </w:rPr>
              <w:t> </w:t>
            </w:r>
            <w:r>
              <w:rPr>
                <w:lang w:eastAsia="en-US"/>
              </w:rPr>
              <w:t>административных правонарушениях;</w:t>
            </w:r>
          </w:p>
          <w:p>
            <w:pPr>
              <w:shd w:val="clear" w:color="auto" w:fill="FFFFFF"/>
              <w:spacing w:before="160" w:after="160"/>
              <w:jc w:val="both"/>
              <w:rPr>
                <w:lang w:eastAsia="en-US"/>
              </w:rPr>
            </w:pPr>
            <w:r>
              <w:rPr>
                <w:lang w:eastAsia="en-US"/>
              </w:rPr>
              <w:t>2.13. у</w:t>
            </w:r>
            <w:r>
              <w:rPr>
                <w:lang w:val="en-US" w:eastAsia="en-US"/>
              </w:rPr>
              <w:t> </w:t>
            </w:r>
            <w:r>
              <w:rPr>
                <w:lang w:eastAsia="en-US"/>
              </w:rPr>
              <w:t>участника процедуры государственной закупки</w:t>
            </w:r>
            <w:r>
              <w:rPr>
                <w:lang w:val="en-US" w:eastAsia="en-US"/>
              </w:rPr>
              <w:t> </w:t>
            </w:r>
            <w:r>
              <w:rPr>
                <w:lang w:eastAsia="en-US"/>
              </w:rPr>
              <w:t>– физического лица, в</w:t>
            </w:r>
            <w:r>
              <w:rPr>
                <w:lang w:val="en-US" w:eastAsia="en-US"/>
              </w:rPr>
              <w:t> </w:t>
            </w:r>
            <w:r>
              <w:rPr>
                <w:lang w:eastAsia="en-US"/>
              </w:rPr>
              <w:t>том числе индивидуального предпринимателя, отсутствует не</w:t>
            </w:r>
            <w:r>
              <w:rPr>
                <w:lang w:val="en-US" w:eastAsia="en-US"/>
              </w:rPr>
              <w:t> </w:t>
            </w:r>
            <w:r>
              <w:rPr>
                <w:lang w:eastAsia="en-US"/>
              </w:rPr>
              <w:t>снятая или не</w:t>
            </w:r>
            <w:r>
              <w:rPr>
                <w:lang w:val="en-US" w:eastAsia="en-US"/>
              </w:rPr>
              <w:t> </w:t>
            </w:r>
            <w:r>
              <w:rPr>
                <w:lang w:eastAsia="en-US"/>
              </w:rPr>
              <w:t>погашенная в</w:t>
            </w:r>
            <w:r>
              <w:rPr>
                <w:lang w:val="en-US" w:eastAsia="en-US"/>
              </w:rPr>
              <w:t> </w:t>
            </w:r>
            <w:r>
              <w:rPr>
                <w:lang w:eastAsia="en-US"/>
              </w:rPr>
              <w:t>установленном порядке судимость за</w:t>
            </w:r>
            <w:r>
              <w:rPr>
                <w:lang w:val="en-US" w:eastAsia="en-US"/>
              </w:rPr>
              <w:t> </w:t>
            </w:r>
            <w:r>
              <w:rPr>
                <w:lang w:eastAsia="en-US"/>
              </w:rPr>
              <w:t>преступления, предусмотренные в</w:t>
            </w:r>
            <w:r>
              <w:rPr>
                <w:lang w:val="en-US" w:eastAsia="en-US"/>
              </w:rPr>
              <w:t> </w:t>
            </w:r>
            <w:r>
              <w:rPr>
                <w:lang w:eastAsia="en-US"/>
              </w:rPr>
              <w:t>статьях</w:t>
            </w:r>
            <w:r>
              <w:rPr>
                <w:lang w:val="en-US" w:eastAsia="en-US"/>
              </w:rPr>
              <w:t> </w:t>
            </w:r>
            <w:r>
              <w:fldChar w:fldCharType="begin"/>
            </w:r>
            <w:r>
              <w:instrText xml:space="preserve"> HYPERLINK "https://bii.by/tx.dll?d=33384&amp;a=359" \l "a359" \o "+" </w:instrText>
            </w:r>
            <w:r>
              <w:fldChar w:fldCharType="separate"/>
            </w:r>
            <w:r>
              <w:rPr>
                <w:u w:val="single"/>
                <w:lang w:eastAsia="en-US"/>
              </w:rPr>
              <w:t>209–212</w:t>
            </w:r>
            <w:r>
              <w:rPr>
                <w:u w:val="single"/>
                <w:lang w:eastAsia="en-US"/>
              </w:rPr>
              <w:fldChar w:fldCharType="end"/>
            </w:r>
            <w:r>
              <w:rPr>
                <w:lang w:eastAsia="en-US"/>
              </w:rPr>
              <w:t>,</w:t>
            </w:r>
            <w:r>
              <w:rPr>
                <w:lang w:val="en-US" w:eastAsia="en-US"/>
              </w:rPr>
              <w:t> </w:t>
            </w:r>
            <w:r>
              <w:fldChar w:fldCharType="begin"/>
            </w:r>
            <w:r>
              <w:instrText xml:space="preserve"> HYPERLINK "https://bii.by/tx.dll?d=33384&amp;a=367" \l "a367" \o "+" </w:instrText>
            </w:r>
            <w:r>
              <w:fldChar w:fldCharType="separate"/>
            </w:r>
            <w:r>
              <w:rPr>
                <w:u w:val="single"/>
                <w:lang w:eastAsia="en-US"/>
              </w:rPr>
              <w:t>216</w:t>
            </w:r>
            <w:r>
              <w:rPr>
                <w:u w:val="single"/>
                <w:lang w:eastAsia="en-US"/>
              </w:rPr>
              <w:fldChar w:fldCharType="end"/>
            </w:r>
            <w:r>
              <w:rPr>
                <w:lang w:eastAsia="en-US"/>
              </w:rPr>
              <w:t>,</w:t>
            </w:r>
            <w:r>
              <w:rPr>
                <w:lang w:val="en-US" w:eastAsia="en-US"/>
              </w:rPr>
              <w:t> </w:t>
            </w:r>
            <w:r>
              <w:fldChar w:fldCharType="begin"/>
            </w:r>
            <w:r>
              <w:instrText xml:space="preserve"> HYPERLINK "https://bii.by/tx.dll?d=33384&amp;a=4194" \l "a4194" \o "+" </w:instrText>
            </w:r>
            <w:r>
              <w:fldChar w:fldCharType="separate"/>
            </w:r>
            <w:r>
              <w:rPr>
                <w:u w:val="single"/>
                <w:lang w:eastAsia="en-US"/>
              </w:rPr>
              <w:t>235</w:t>
            </w:r>
            <w:r>
              <w:rPr>
                <w:u w:val="single"/>
                <w:lang w:eastAsia="en-US"/>
              </w:rPr>
              <w:fldChar w:fldCharType="end"/>
            </w:r>
            <w:r>
              <w:rPr>
                <w:lang w:eastAsia="en-US"/>
              </w:rPr>
              <w:t>,</w:t>
            </w:r>
            <w:r>
              <w:rPr>
                <w:lang w:val="en-US" w:eastAsia="en-US"/>
              </w:rPr>
              <w:t> </w:t>
            </w:r>
            <w:r>
              <w:fldChar w:fldCharType="begin"/>
            </w:r>
            <w:r>
              <w:instrText xml:space="preserve"> HYPERLINK "https://bii.by/tx.dll?d=33384&amp;a=5103" \l "a5103" \o "+" </w:instrText>
            </w:r>
            <w:r>
              <w:fldChar w:fldCharType="separate"/>
            </w:r>
            <w:r>
              <w:rPr>
                <w:u w:val="single"/>
                <w:lang w:eastAsia="en-US"/>
              </w:rPr>
              <w:t>243–243</w:t>
            </w:r>
            <w:r>
              <w:rPr>
                <w:sz w:val="18"/>
                <w:szCs w:val="18"/>
                <w:u w:val="single"/>
                <w:vertAlign w:val="superscript"/>
                <w:lang w:eastAsia="en-US"/>
              </w:rPr>
              <w:t>3</w:t>
            </w:r>
            <w:r>
              <w:rPr>
                <w:sz w:val="18"/>
                <w:szCs w:val="18"/>
                <w:u w:val="single"/>
                <w:vertAlign w:val="superscript"/>
                <w:lang w:eastAsia="en-US"/>
              </w:rPr>
              <w:fldChar w:fldCharType="end"/>
            </w:r>
            <w:r>
              <w:rPr>
                <w:lang w:eastAsia="en-US"/>
              </w:rPr>
              <w:t>,</w:t>
            </w:r>
            <w:r>
              <w:rPr>
                <w:lang w:val="en-US" w:eastAsia="en-US"/>
              </w:rPr>
              <w:t> </w:t>
            </w:r>
            <w:r>
              <w:fldChar w:fldCharType="begin"/>
            </w:r>
            <w:r>
              <w:instrText xml:space="preserve"> HYPERLINK "https://bii.by/tx.dll?d=33384&amp;a=2525" \l "a2525" \o "+" </w:instrText>
            </w:r>
            <w:r>
              <w:fldChar w:fldCharType="separate"/>
            </w:r>
            <w:r>
              <w:rPr>
                <w:u w:val="single"/>
                <w:lang w:eastAsia="en-US"/>
              </w:rPr>
              <w:t>424–426</w:t>
            </w:r>
            <w:r>
              <w:rPr>
                <w:u w:val="single"/>
                <w:lang w:eastAsia="en-US"/>
              </w:rPr>
              <w:fldChar w:fldCharType="end"/>
            </w:r>
            <w:r>
              <w:rPr>
                <w:lang w:eastAsia="en-US"/>
              </w:rPr>
              <w:t>,</w:t>
            </w:r>
            <w:r>
              <w:rPr>
                <w:lang w:val="en-US" w:eastAsia="en-US"/>
              </w:rPr>
              <w:t> </w:t>
            </w:r>
            <w:r>
              <w:fldChar w:fldCharType="begin"/>
            </w:r>
            <w:r>
              <w:instrText xml:space="preserve"> HYPERLINK "https://bii.by/tx.dll?d=33384&amp;a=2705" \l "a2705" \o "+" </w:instrText>
            </w:r>
            <w:r>
              <w:fldChar w:fldCharType="separate"/>
            </w:r>
            <w:r>
              <w:rPr>
                <w:u w:val="single"/>
                <w:lang w:eastAsia="en-US"/>
              </w:rPr>
              <w:t>429–432</w:t>
            </w:r>
            <w:r>
              <w:rPr>
                <w:u w:val="single"/>
                <w:lang w:eastAsia="en-US"/>
              </w:rPr>
              <w:fldChar w:fldCharType="end"/>
            </w:r>
            <w:r>
              <w:rPr>
                <w:lang w:val="en-US" w:eastAsia="en-US"/>
              </w:rPr>
              <w:t> </w:t>
            </w:r>
            <w:r>
              <w:rPr>
                <w:lang w:eastAsia="en-US"/>
              </w:rPr>
              <w:t>и</w:t>
            </w:r>
            <w:r>
              <w:rPr>
                <w:lang w:val="en-US" w:eastAsia="en-US"/>
              </w:rPr>
              <w:t> </w:t>
            </w:r>
            <w:r>
              <w:fldChar w:fldCharType="begin"/>
            </w:r>
            <w:r>
              <w:instrText xml:space="preserve"> HYPERLINK "https://bii.by/tx.dll?d=33384&amp;a=5144" \l "a5144" \o "+" </w:instrText>
            </w:r>
            <w:r>
              <w:fldChar w:fldCharType="separate"/>
            </w:r>
            <w:r>
              <w:rPr>
                <w:u w:val="single"/>
                <w:lang w:eastAsia="en-US"/>
              </w:rPr>
              <w:t>455</w:t>
            </w:r>
            <w:r>
              <w:rPr>
                <w:u w:val="single"/>
                <w:lang w:eastAsia="en-US"/>
              </w:rPr>
              <w:fldChar w:fldCharType="end"/>
            </w:r>
            <w:r>
              <w:rPr>
                <w:lang w:val="en-US" w:eastAsia="en-US"/>
              </w:rPr>
              <w:t> </w:t>
            </w:r>
            <w:r>
              <w:rPr>
                <w:lang w:eastAsia="en-US"/>
              </w:rPr>
              <w:t>Уголовного кодекса Республики Беларусь;</w:t>
            </w:r>
          </w:p>
          <w:p>
            <w:pPr>
              <w:shd w:val="clear" w:color="auto" w:fill="FFFFFF"/>
              <w:spacing w:before="160" w:after="160"/>
              <w:jc w:val="both"/>
              <w:rPr>
                <w:lang w:eastAsia="en-US"/>
              </w:rPr>
            </w:pPr>
            <w:r>
              <w:rPr>
                <w:lang w:eastAsia="en-US"/>
              </w:rPr>
              <w:t>2.14. у</w:t>
            </w:r>
            <w:r>
              <w:rPr>
                <w:lang w:val="en-US" w:eastAsia="en-US"/>
              </w:rPr>
              <w:t> </w:t>
            </w:r>
            <w:r>
              <w:rPr>
                <w:lang w:eastAsia="en-US"/>
              </w:rPr>
              <w:t>лица, осуществляющего полномочия единоличного исполнительного органа юридического лица</w:t>
            </w:r>
            <w:r>
              <w:rPr>
                <w:lang w:val="en-US" w:eastAsia="en-US"/>
              </w:rPr>
              <w:t> </w:t>
            </w:r>
            <w:r>
              <w:rPr>
                <w:lang w:eastAsia="en-US"/>
              </w:rPr>
              <w:t>– участника процедуры государственной закупки, и</w:t>
            </w:r>
            <w:r>
              <w:rPr>
                <w:lang w:val="en-US" w:eastAsia="en-US"/>
              </w:rPr>
              <w:t> </w:t>
            </w:r>
            <w:r>
              <w:rPr>
                <w:lang w:eastAsia="en-US"/>
              </w:rPr>
              <w:t>лица, имеющего право давать такому юридическому лицу обязательные для</w:t>
            </w:r>
            <w:r>
              <w:rPr>
                <w:lang w:val="en-US" w:eastAsia="en-US"/>
              </w:rPr>
              <w:t> </w:t>
            </w:r>
            <w:r>
              <w:rPr>
                <w:lang w:eastAsia="en-US"/>
              </w:rPr>
              <w:t>исполнения указания на</w:t>
            </w:r>
            <w:r>
              <w:rPr>
                <w:lang w:val="en-US" w:eastAsia="en-US"/>
              </w:rPr>
              <w:t> </w:t>
            </w:r>
            <w:r>
              <w:rPr>
                <w:lang w:eastAsia="en-US"/>
              </w:rPr>
              <w:t>основании учредительных документов или заключенного договора, отсутствует не</w:t>
            </w:r>
            <w:r>
              <w:rPr>
                <w:lang w:val="en-US" w:eastAsia="en-US"/>
              </w:rPr>
              <w:t> </w:t>
            </w:r>
            <w:r>
              <w:rPr>
                <w:lang w:eastAsia="en-US"/>
              </w:rPr>
              <w:t>снятая или не</w:t>
            </w:r>
            <w:r>
              <w:rPr>
                <w:lang w:val="en-US" w:eastAsia="en-US"/>
              </w:rPr>
              <w:t> </w:t>
            </w:r>
            <w:r>
              <w:rPr>
                <w:lang w:eastAsia="en-US"/>
              </w:rPr>
              <w:t>погашенная в</w:t>
            </w:r>
            <w:r>
              <w:rPr>
                <w:lang w:val="en-US" w:eastAsia="en-US"/>
              </w:rPr>
              <w:t> </w:t>
            </w:r>
            <w:r>
              <w:rPr>
                <w:lang w:eastAsia="en-US"/>
              </w:rPr>
              <w:t>установленном порядке судимость за</w:t>
            </w:r>
            <w:r>
              <w:rPr>
                <w:lang w:val="en-US" w:eastAsia="en-US"/>
              </w:rPr>
              <w:t> </w:t>
            </w:r>
            <w:r>
              <w:rPr>
                <w:lang w:eastAsia="en-US"/>
              </w:rPr>
              <w:t>преступления, предусмотренные в</w:t>
            </w:r>
            <w:r>
              <w:rPr>
                <w:lang w:val="en-US" w:eastAsia="en-US"/>
              </w:rPr>
              <w:t> </w:t>
            </w:r>
            <w:r>
              <w:rPr>
                <w:lang w:eastAsia="en-US"/>
              </w:rPr>
              <w:t>статьях</w:t>
            </w:r>
            <w:r>
              <w:rPr>
                <w:lang w:val="en-US" w:eastAsia="en-US"/>
              </w:rPr>
              <w:t> </w:t>
            </w:r>
            <w:r>
              <w:fldChar w:fldCharType="begin"/>
            </w:r>
            <w:r>
              <w:instrText xml:space="preserve"> HYPERLINK "https://bii.by/tx.dll?d=33384&amp;a=359" \l "a359" \o "+" </w:instrText>
            </w:r>
            <w:r>
              <w:fldChar w:fldCharType="separate"/>
            </w:r>
            <w:r>
              <w:rPr>
                <w:u w:val="single"/>
                <w:lang w:eastAsia="en-US"/>
              </w:rPr>
              <w:t>209–212</w:t>
            </w:r>
            <w:r>
              <w:rPr>
                <w:u w:val="single"/>
                <w:lang w:eastAsia="en-US"/>
              </w:rPr>
              <w:fldChar w:fldCharType="end"/>
            </w:r>
            <w:r>
              <w:rPr>
                <w:lang w:eastAsia="en-US"/>
              </w:rPr>
              <w:t>,</w:t>
            </w:r>
            <w:r>
              <w:rPr>
                <w:lang w:val="en-US" w:eastAsia="en-US"/>
              </w:rPr>
              <w:t> </w:t>
            </w:r>
            <w:r>
              <w:fldChar w:fldCharType="begin"/>
            </w:r>
            <w:r>
              <w:instrText xml:space="preserve"> HYPERLINK "https://bii.by/tx.dll?d=33384&amp;a=367" \l "a367" \o "+" </w:instrText>
            </w:r>
            <w:r>
              <w:fldChar w:fldCharType="separate"/>
            </w:r>
            <w:r>
              <w:rPr>
                <w:u w:val="single"/>
                <w:lang w:eastAsia="en-US"/>
              </w:rPr>
              <w:t>216</w:t>
            </w:r>
            <w:r>
              <w:rPr>
                <w:u w:val="single"/>
                <w:lang w:eastAsia="en-US"/>
              </w:rPr>
              <w:fldChar w:fldCharType="end"/>
            </w:r>
            <w:r>
              <w:rPr>
                <w:lang w:eastAsia="en-US"/>
              </w:rPr>
              <w:t>,</w:t>
            </w:r>
            <w:r>
              <w:rPr>
                <w:lang w:val="en-US" w:eastAsia="en-US"/>
              </w:rPr>
              <w:t> </w:t>
            </w:r>
            <w:r>
              <w:fldChar w:fldCharType="begin"/>
            </w:r>
            <w:r>
              <w:instrText xml:space="preserve"> HYPERLINK "https://bii.by/tx.dll?d=33384&amp;a=4194" \l "a4194" \o "+" </w:instrText>
            </w:r>
            <w:r>
              <w:fldChar w:fldCharType="separate"/>
            </w:r>
            <w:r>
              <w:rPr>
                <w:u w:val="single"/>
                <w:lang w:eastAsia="en-US"/>
              </w:rPr>
              <w:t>235</w:t>
            </w:r>
            <w:r>
              <w:rPr>
                <w:u w:val="single"/>
                <w:lang w:eastAsia="en-US"/>
              </w:rPr>
              <w:fldChar w:fldCharType="end"/>
            </w:r>
            <w:r>
              <w:rPr>
                <w:lang w:eastAsia="en-US"/>
              </w:rPr>
              <w:t>,</w:t>
            </w:r>
            <w:r>
              <w:rPr>
                <w:lang w:val="en-US" w:eastAsia="en-US"/>
              </w:rPr>
              <w:t> </w:t>
            </w:r>
            <w:r>
              <w:fldChar w:fldCharType="begin"/>
            </w:r>
            <w:r>
              <w:instrText xml:space="preserve"> HYPERLINK "https://bii.by/tx.dll?d=33384&amp;a=5103" \l "a5103" \o "+" </w:instrText>
            </w:r>
            <w:r>
              <w:fldChar w:fldCharType="separate"/>
            </w:r>
            <w:r>
              <w:rPr>
                <w:u w:val="single"/>
                <w:lang w:eastAsia="en-US"/>
              </w:rPr>
              <w:t>243–243</w:t>
            </w:r>
            <w:r>
              <w:rPr>
                <w:sz w:val="18"/>
                <w:szCs w:val="18"/>
                <w:u w:val="single"/>
                <w:vertAlign w:val="superscript"/>
                <w:lang w:eastAsia="en-US"/>
              </w:rPr>
              <w:t>3</w:t>
            </w:r>
            <w:r>
              <w:rPr>
                <w:sz w:val="18"/>
                <w:szCs w:val="18"/>
                <w:u w:val="single"/>
                <w:vertAlign w:val="superscript"/>
                <w:lang w:eastAsia="en-US"/>
              </w:rPr>
              <w:fldChar w:fldCharType="end"/>
            </w:r>
            <w:r>
              <w:rPr>
                <w:lang w:eastAsia="en-US"/>
              </w:rPr>
              <w:t>,</w:t>
            </w:r>
            <w:r>
              <w:rPr>
                <w:lang w:val="en-US" w:eastAsia="en-US"/>
              </w:rPr>
              <w:t> </w:t>
            </w:r>
            <w:r>
              <w:fldChar w:fldCharType="begin"/>
            </w:r>
            <w:r>
              <w:instrText xml:space="preserve"> HYPERLINK "https://bii.by/tx.dll?d=33384&amp;a=2525" \l "a2525" \o "+" </w:instrText>
            </w:r>
            <w:r>
              <w:fldChar w:fldCharType="separate"/>
            </w:r>
            <w:r>
              <w:rPr>
                <w:u w:val="single"/>
                <w:lang w:eastAsia="en-US"/>
              </w:rPr>
              <w:t>424–426</w:t>
            </w:r>
            <w:r>
              <w:rPr>
                <w:u w:val="single"/>
                <w:lang w:eastAsia="en-US"/>
              </w:rPr>
              <w:fldChar w:fldCharType="end"/>
            </w:r>
            <w:r>
              <w:rPr>
                <w:lang w:eastAsia="en-US"/>
              </w:rPr>
              <w:t>,</w:t>
            </w:r>
            <w:r>
              <w:rPr>
                <w:lang w:val="en-US" w:eastAsia="en-US"/>
              </w:rPr>
              <w:t> </w:t>
            </w:r>
            <w:r>
              <w:fldChar w:fldCharType="begin"/>
            </w:r>
            <w:r>
              <w:instrText xml:space="preserve"> HYPERLINK "https://bii.by/tx.dll?d=33384&amp;a=2705" \l "a2705" \o "+" </w:instrText>
            </w:r>
            <w:r>
              <w:fldChar w:fldCharType="separate"/>
            </w:r>
            <w:r>
              <w:rPr>
                <w:u w:val="single"/>
                <w:lang w:eastAsia="en-US"/>
              </w:rPr>
              <w:t>429–432</w:t>
            </w:r>
            <w:r>
              <w:rPr>
                <w:u w:val="single"/>
                <w:lang w:eastAsia="en-US"/>
              </w:rPr>
              <w:fldChar w:fldCharType="end"/>
            </w:r>
            <w:r>
              <w:rPr>
                <w:lang w:val="en-US" w:eastAsia="en-US"/>
              </w:rPr>
              <w:t> </w:t>
            </w:r>
            <w:r>
              <w:rPr>
                <w:lang w:eastAsia="en-US"/>
              </w:rPr>
              <w:t>и</w:t>
            </w:r>
            <w:r>
              <w:rPr>
                <w:lang w:val="en-US" w:eastAsia="en-US"/>
              </w:rPr>
              <w:t> </w:t>
            </w:r>
            <w:r>
              <w:fldChar w:fldCharType="begin"/>
            </w:r>
            <w:r>
              <w:instrText xml:space="preserve"> HYPERLINK "https://bii.by/tx.dll?d=33384&amp;a=5144" \l "a5144" \o "+" </w:instrText>
            </w:r>
            <w:r>
              <w:fldChar w:fldCharType="separate"/>
            </w:r>
            <w:r>
              <w:rPr>
                <w:u w:val="single"/>
                <w:lang w:eastAsia="en-US"/>
              </w:rPr>
              <w:t>455</w:t>
            </w:r>
            <w:r>
              <w:rPr>
                <w:u w:val="single"/>
                <w:lang w:eastAsia="en-US"/>
              </w:rPr>
              <w:fldChar w:fldCharType="end"/>
            </w:r>
            <w:r>
              <w:rPr>
                <w:lang w:val="en-US" w:eastAsia="en-US"/>
              </w:rPr>
              <w:t> </w:t>
            </w:r>
            <w:r>
              <w:rPr>
                <w:lang w:eastAsia="en-US"/>
              </w:rPr>
              <w:t>Уголовного кодекса Республики Беларусь.</w:t>
            </w:r>
          </w:p>
          <w:p>
            <w:pPr>
              <w:pStyle w:val="12"/>
              <w:spacing w:beforeAutospacing="1" w:afterAutospacing="1"/>
              <w:jc w:val="both"/>
            </w:pPr>
            <w:r>
              <w:rPr>
                <w:lang w:eastAsia="en-US"/>
              </w:rPr>
              <w:t xml:space="preserve">2.15. </w:t>
            </w:r>
            <w:r>
              <w:t>юридическое лицо не должно считаться подвергавшимся административному взысканию за административное правонарушение, предусмотренное в </w:t>
            </w:r>
            <w:r>
              <w:fldChar w:fldCharType="begin"/>
            </w:r>
            <w:r>
              <w:instrText xml:space="preserve"> HYPERLINK "https://normativka.by/lib/document/500299149/rev/2024052999" \l "article=24.59" \t "https://normativka.by/api/document/_parent" </w:instrText>
            </w:r>
            <w:r>
              <w:fldChar w:fldCharType="separate"/>
            </w:r>
            <w:r>
              <w:rPr>
                <w:rStyle w:val="6"/>
                <w:color w:val="auto"/>
              </w:rPr>
              <w:t>статье 24.59</w:t>
            </w:r>
            <w:r>
              <w:rPr>
                <w:rStyle w:val="6"/>
                <w:color w:val="auto"/>
              </w:rPr>
              <w:fldChar w:fldCharType="end"/>
            </w:r>
            <w:r>
              <w:t> Кодекса Республики Беларусь об административных правонарушениях;</w:t>
            </w:r>
          </w:p>
          <w:p>
            <w:pPr>
              <w:pStyle w:val="12"/>
              <w:spacing w:beforeAutospacing="1" w:afterAutospacing="1"/>
              <w:jc w:val="both"/>
            </w:pPr>
            <w:r>
              <w:t>2.16.</w:t>
            </w:r>
            <w:r>
              <w:rPr>
                <w:rFonts w:hint="default"/>
                <w:lang w:val="ru-RU"/>
              </w:rPr>
              <w:t xml:space="preserve"> </w:t>
            </w:r>
            <w: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pPr>
              <w:pStyle w:val="12"/>
              <w:spacing w:beforeAutospacing="1" w:afterAutospacing="1"/>
              <w:jc w:val="both"/>
              <w:rPr>
                <w:color w:val="000000"/>
              </w:rPr>
            </w:pPr>
            <w:r>
              <w:t xml:space="preserve">2.17. </w:t>
            </w:r>
            <w:r>
              <w:rPr>
                <w:color w:val="000000"/>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pPr>
              <w:pStyle w:val="12"/>
              <w:spacing w:beforeAutospacing="1" w:afterAutospacing="1"/>
              <w:jc w:val="both"/>
              <w:rPr>
                <w:color w:val="000000"/>
              </w:rPr>
            </w:pPr>
            <w:r>
              <w:rPr>
                <w:color w:val="000000"/>
              </w:rPr>
              <w:t>2.18.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pPr>
              <w:autoSpaceDE w:val="0"/>
              <w:autoSpaceDN w:val="0"/>
              <w:adjustRightInd w:val="0"/>
              <w:spacing w:before="200"/>
              <w:jc w:val="both"/>
              <w:rPr>
                <w:color w:val="auto"/>
              </w:rPr>
            </w:pPr>
            <w:r>
              <w:t xml:space="preserve">3. </w:t>
            </w:r>
            <w:r>
              <w:rPr>
                <w:color w:val="auto"/>
              </w:rPr>
              <w:t>Соответствие требованиям, установленным пунктами 2.4., 2.6 - 2.1</w:t>
            </w:r>
            <w:r>
              <w:rPr>
                <w:rFonts w:hint="default"/>
                <w:color w:val="auto"/>
                <w:lang w:val="ru-RU"/>
              </w:rPr>
              <w:t>8</w:t>
            </w:r>
            <w:r>
              <w:rPr>
                <w:color w:val="auto"/>
              </w:rPr>
              <w:t xml:space="preserve">. настоящего раздела, подтверждается заявлением участника. Такое заявление подается по форме, установленной регламентом оператора электронной торговой площадки.  </w:t>
            </w:r>
          </w:p>
          <w:p>
            <w:pPr>
              <w:pStyle w:val="15"/>
              <w:jc w:val="both"/>
              <w:rPr>
                <w:b/>
                <w:iCs/>
                <w:szCs w:val="24"/>
              </w:rPr>
            </w:pPr>
            <w:r>
              <w:rPr>
                <w:rFonts w:hint="default"/>
                <w:b/>
                <w:i/>
                <w:lang w:val="ru-RU"/>
              </w:rPr>
              <w:t>4</w:t>
            </w:r>
            <w:r>
              <w:rPr>
                <w:b/>
                <w:i/>
              </w:rPr>
              <w:t>. Копии документов, исполненных на иностранном языке, представляются с переводом на русский и (или) белорусский языки.</w:t>
            </w:r>
            <w:r>
              <w:rPr>
                <w:b/>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701" w:type="dxa"/>
            <w:gridSpan w:val="2"/>
            <w:vAlign w:val="center"/>
          </w:tcPr>
          <w:p>
            <w:pPr>
              <w:pStyle w:val="15"/>
              <w:jc w:val="center"/>
            </w:pPr>
            <w:r>
              <w:rPr>
                <w:b/>
              </w:rPr>
              <w:t>Сведения о предмете государственной закупки (Приложение №1)</w:t>
            </w:r>
          </w:p>
        </w:tc>
      </w:tr>
    </w:tbl>
    <w:p>
      <w:pPr>
        <w:pStyle w:val="15"/>
        <w:jc w:val="both"/>
      </w:pPr>
    </w:p>
    <w:p>
      <w:pPr>
        <w:pStyle w:val="15"/>
        <w:jc w:val="both"/>
        <w:rPr>
          <w:b/>
          <w:sz w:val="28"/>
          <w:szCs w:val="28"/>
        </w:rPr>
      </w:pPr>
      <w:r>
        <w:rPr>
          <w:b/>
          <w:sz w:val="28"/>
          <w:szCs w:val="28"/>
        </w:rPr>
        <w:t>I</w:t>
      </w:r>
      <w:r>
        <w:rPr>
          <w:b/>
          <w:sz w:val="28"/>
          <w:szCs w:val="28"/>
          <w:lang w:val="en-US"/>
        </w:rPr>
        <w:t>I</w:t>
      </w:r>
      <w:r>
        <w:rPr>
          <w:b/>
          <w:sz w:val="28"/>
          <w:szCs w:val="28"/>
        </w:rPr>
        <w:t>. Порядок формирования цены предложения.</w:t>
      </w:r>
    </w:p>
    <w:p>
      <w:pPr>
        <w:ind w:firstLine="709"/>
        <w:jc w:val="both"/>
        <w:rPr>
          <w:sz w:val="28"/>
          <w:szCs w:val="28"/>
        </w:rPr>
      </w:pPr>
      <w:r>
        <w:rPr>
          <w:sz w:val="28"/>
          <w:szCs w:val="28"/>
        </w:rPr>
        <w:t>Изложено в Приложении №1.</w:t>
      </w:r>
    </w:p>
    <w:p>
      <w:pPr>
        <w:pStyle w:val="15"/>
        <w:jc w:val="both"/>
        <w:rPr>
          <w:b/>
          <w:sz w:val="28"/>
          <w:szCs w:val="28"/>
        </w:rPr>
      </w:pPr>
    </w:p>
    <w:p>
      <w:pPr>
        <w:pStyle w:val="15"/>
        <w:jc w:val="both"/>
        <w:rPr>
          <w:b/>
          <w:sz w:val="28"/>
          <w:szCs w:val="28"/>
        </w:rPr>
      </w:pPr>
      <w:r>
        <w:rPr>
          <w:b/>
          <w:sz w:val="28"/>
          <w:szCs w:val="28"/>
          <w:lang w:val="en-US"/>
        </w:rPr>
        <w:t>III</w:t>
      </w:r>
      <w:r>
        <w:rPr>
          <w:b/>
          <w:sz w:val="28"/>
          <w:szCs w:val="28"/>
        </w:rPr>
        <w:t>.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pPr>
        <w:pStyle w:val="15"/>
        <w:ind w:firstLine="540"/>
        <w:jc w:val="both"/>
        <w:rPr>
          <w:sz w:val="28"/>
          <w:szCs w:val="28"/>
        </w:rPr>
      </w:pPr>
      <w:r>
        <w:rPr>
          <w:sz w:val="28"/>
          <w:szCs w:val="28"/>
        </w:rPr>
        <w:t>Цена (ставка) участника должна быть выражена в белорусских рублях.</w:t>
      </w:r>
    </w:p>
    <w:p>
      <w:pPr>
        <w:pStyle w:val="15"/>
        <w:ind w:firstLine="540"/>
        <w:jc w:val="both"/>
        <w:rPr>
          <w:sz w:val="28"/>
          <w:szCs w:val="28"/>
        </w:rPr>
      </w:pPr>
      <w:r>
        <w:rPr>
          <w:sz w:val="28"/>
          <w:szCs w:val="28"/>
        </w:rPr>
        <w:t>В случае определения участником-победителем резидента Республики Беларусь, валютой договора является белорусский рубль (BYN).</w:t>
      </w:r>
    </w:p>
    <w:p>
      <w:pPr>
        <w:pStyle w:val="15"/>
        <w:ind w:firstLine="540"/>
        <w:jc w:val="both"/>
        <w:rPr>
          <w:sz w:val="28"/>
          <w:szCs w:val="28"/>
        </w:rPr>
      </w:pPr>
      <w:r>
        <w:rPr>
          <w:sz w:val="28"/>
          <w:szCs w:val="28"/>
        </w:rPr>
        <w:t>В случае присуждения контракта закупки участнику-нерезиденту Республики Беларусь валюта цены на основании предложения участника может быть переведена в RUB, USD, EUR, CNY путем пересчета цены (ставки) участника-победителя в одну из указанных валют по курсу Национального банка Республики Беларусь на дату проведения торгов. При этом валюта платежа для резидентов Российской Федерации – RUB, для резидентов Евросоюза – EUR. В случае, если валюта цены отличается от валюты платежа, то перерасчёт валюты платежа производится по курсу Национального банка Республики Беларусь, установленного на дату проведения платежа.</w:t>
      </w:r>
    </w:p>
    <w:p>
      <w:pPr>
        <w:pStyle w:val="15"/>
        <w:jc w:val="both"/>
        <w:rPr>
          <w:sz w:val="28"/>
          <w:szCs w:val="28"/>
        </w:rPr>
      </w:pPr>
    </w:p>
    <w:p>
      <w:pPr>
        <w:pStyle w:val="15"/>
        <w:jc w:val="both"/>
        <w:rPr>
          <w:sz w:val="28"/>
          <w:szCs w:val="28"/>
        </w:rPr>
      </w:pPr>
      <w:r>
        <w:rPr>
          <w:b/>
          <w:sz w:val="28"/>
          <w:szCs w:val="28"/>
          <w:lang w:val="en-US"/>
        </w:rPr>
        <w:t>I</w:t>
      </w:r>
      <w:r>
        <w:rPr>
          <w:b/>
          <w:sz w:val="28"/>
          <w:szCs w:val="28"/>
        </w:rPr>
        <w:t xml:space="preserve">V. Акты законодательства о государственных закупках, в соответствии с которыми проводится процедура государственной закупки. </w:t>
      </w:r>
    </w:p>
    <w:p>
      <w:pPr>
        <w:pStyle w:val="15"/>
        <w:ind w:firstLine="709"/>
        <w:jc w:val="both"/>
        <w:rPr>
          <w:rFonts w:hint="default"/>
          <w:sz w:val="28"/>
          <w:szCs w:val="28"/>
          <w:lang w:val="ru-RU"/>
        </w:rPr>
      </w:pPr>
      <w:r>
        <w:rPr>
          <w:sz w:val="28"/>
          <w:szCs w:val="28"/>
        </w:rPr>
        <w:t xml:space="preserve">Настоящий электронный аукцион проводится в порядке, установленном </w:t>
      </w:r>
      <w:r>
        <w:fldChar w:fldCharType="begin"/>
      </w:r>
      <w:r>
        <w:instrText xml:space="preserve"> HYPERLINK "consultantplus://offline/ref=DEB4DB9ED8D95BB67FAA995B56399B868DAF4D868F6E1473C6127B764482FB514286wEoAI" </w:instrText>
      </w:r>
      <w:r>
        <w:fldChar w:fldCharType="separate"/>
      </w:r>
      <w:r>
        <w:rPr>
          <w:color w:val="000000" w:themeColor="text1"/>
          <w:sz w:val="28"/>
          <w:szCs w:val="28"/>
          <w14:textFill>
            <w14:solidFill>
              <w14:schemeClr w14:val="tx1"/>
            </w14:solidFill>
          </w14:textFill>
        </w:rPr>
        <w:t>Законом</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 xml:space="preserve"> Республики Беларусь от 13 июля 2012 года </w:t>
      </w:r>
      <w:r>
        <w:rPr>
          <w:color w:val="000000" w:themeColor="text1"/>
          <w:sz w:val="28"/>
          <w:szCs w:val="28"/>
          <w:lang w:val="ru-RU"/>
          <w14:textFill>
            <w14:solidFill>
              <w14:schemeClr w14:val="tx1"/>
            </w14:solidFill>
          </w14:textFill>
        </w:rPr>
        <w:t>№</w:t>
      </w:r>
      <w:r>
        <w:rPr>
          <w:rFonts w:hint="default"/>
          <w:color w:val="000000" w:themeColor="text1"/>
          <w:sz w:val="28"/>
          <w:szCs w:val="28"/>
          <w:lang w:val="ru-RU"/>
          <w14:textFill>
            <w14:solidFill>
              <w14:schemeClr w14:val="tx1"/>
            </w14:solidFill>
          </w14:textFill>
        </w:rPr>
        <w:t xml:space="preserve"> 419-З </w:t>
      </w:r>
      <w:r>
        <w:rPr>
          <w:color w:val="000000" w:themeColor="text1"/>
          <w:sz w:val="28"/>
          <w:szCs w:val="28"/>
          <w14:textFill>
            <w14:solidFill>
              <w14:schemeClr w14:val="tx1"/>
            </w14:solidFill>
          </w14:textFill>
        </w:rPr>
        <w:t xml:space="preserve">«О государственных закупках товаров (работ, услуг)» (в редакции Закона Республики Беларусь от 31.01.2024г. № 354-З) (далее – Закон), </w:t>
      </w:r>
      <w:r>
        <w:rPr>
          <w:sz w:val="28"/>
          <w:szCs w:val="28"/>
        </w:rPr>
        <w:t xml:space="preserve">постановлением Совета Министров Республики Беларусь от </w:t>
      </w:r>
      <w:r>
        <w:rPr>
          <w:rFonts w:hint="default"/>
          <w:sz w:val="28"/>
          <w:szCs w:val="28"/>
          <w:lang w:val="ru-RU"/>
        </w:rPr>
        <w:t>27</w:t>
      </w:r>
      <w:r>
        <w:rPr>
          <w:sz w:val="28"/>
          <w:szCs w:val="28"/>
        </w:rPr>
        <w:t>.12.202</w:t>
      </w:r>
      <w:r>
        <w:rPr>
          <w:rFonts w:hint="default"/>
          <w:sz w:val="28"/>
          <w:szCs w:val="28"/>
          <w:lang w:val="ru-RU"/>
        </w:rPr>
        <w:t>4</w:t>
      </w:r>
      <w:r>
        <w:rPr>
          <w:sz w:val="28"/>
          <w:szCs w:val="28"/>
        </w:rPr>
        <w:t xml:space="preserve"> г. №</w:t>
      </w:r>
      <w:r>
        <w:rPr>
          <w:rFonts w:hint="default"/>
          <w:sz w:val="28"/>
          <w:szCs w:val="28"/>
          <w:lang w:val="ru-RU"/>
        </w:rPr>
        <w:t>1034</w:t>
      </w:r>
      <w:r>
        <w:rPr>
          <w:sz w:val="28"/>
          <w:szCs w:val="28"/>
        </w:rPr>
        <w:t xml:space="preserve"> «О государственных закупках медицинских изделий, лекарственных средств и лечебного питания», постановлением Совета Министров Республики Беларусь от 15.06.2019 г.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 изменениями и дополнениями), постановлением Совета Министров Республики Беларусь от 17.03.2016 г. №206 «О допуске товаров иностранного происхождения и поставщиков, предлагающих такие товары, к участию в процедурах государственных закупок»</w:t>
      </w:r>
      <w:r>
        <w:rPr>
          <w:rFonts w:hint="default"/>
          <w:sz w:val="28"/>
          <w:szCs w:val="28"/>
          <w:lang w:val="ru-RU"/>
        </w:rPr>
        <w:t xml:space="preserve"> (с изменениями и дополнениями)</w:t>
      </w:r>
      <w:r>
        <w:rPr>
          <w:sz w:val="28"/>
          <w:szCs w:val="28"/>
        </w:rPr>
        <w:t xml:space="preserve">, постановлением Министерства антимонопольного регулирования и торговли Республики Беларусь от 30.04.2024 г. №34 «О порядке и способах определения  </w:t>
      </w:r>
      <w:r>
        <w:rPr>
          <w:sz w:val="28"/>
          <w:szCs w:val="28"/>
          <w:lang w:val="ru-RU"/>
        </w:rPr>
        <w:t>предельной</w:t>
      </w:r>
      <w:r>
        <w:rPr>
          <w:rFonts w:hint="default"/>
          <w:sz w:val="28"/>
          <w:szCs w:val="28"/>
          <w:lang w:val="ru-RU"/>
        </w:rPr>
        <w:t xml:space="preserve"> </w:t>
      </w:r>
      <w:r>
        <w:rPr>
          <w:sz w:val="28"/>
          <w:szCs w:val="28"/>
        </w:rPr>
        <w:t>стоимости предмета государственной закупки»</w:t>
      </w:r>
      <w:r>
        <w:rPr>
          <w:rFonts w:hint="default"/>
          <w:sz w:val="28"/>
          <w:szCs w:val="28"/>
          <w:lang w:val="ru-RU"/>
        </w:rPr>
        <w:t xml:space="preserve"> (с изменениями о дополнениями)</w:t>
      </w:r>
      <w:r>
        <w:rPr>
          <w:sz w:val="28"/>
          <w:szCs w:val="28"/>
        </w:rPr>
        <w:t>, Решением Совета Евразийской экономической комиссии №80</w:t>
      </w:r>
      <w:r>
        <w:rPr>
          <w:rFonts w:hint="default"/>
          <w:sz w:val="28"/>
          <w:szCs w:val="28"/>
          <w:lang w:val="ru-RU"/>
        </w:rPr>
        <w:t xml:space="preserve"> от 03.11.2016</w:t>
      </w:r>
      <w:r>
        <w:rPr>
          <w:sz w:val="28"/>
          <w:szCs w:val="28"/>
        </w:rPr>
        <w:t xml:space="preserve"> «Об утверждении Правил надлежащей дистрибьюторской практики в рамках Евразийского экономического союза», постановлени</w:t>
      </w:r>
      <w:r>
        <w:rPr>
          <w:sz w:val="28"/>
          <w:szCs w:val="28"/>
          <w:lang w:val="ru-RU"/>
        </w:rPr>
        <w:t>ем</w:t>
      </w:r>
      <w:r>
        <w:rPr>
          <w:rFonts w:hint="default"/>
          <w:sz w:val="28"/>
          <w:szCs w:val="28"/>
          <w:lang w:val="ru-RU"/>
        </w:rPr>
        <w:t xml:space="preserve"> </w:t>
      </w:r>
      <w:r>
        <w:rPr>
          <w:sz w:val="28"/>
          <w:szCs w:val="28"/>
        </w:rPr>
        <w:t xml:space="preserve">Министерства антимонопольного регулирования и торговли Республики Беларусь от </w:t>
      </w:r>
      <w:r>
        <w:rPr>
          <w:rFonts w:hint="default"/>
          <w:sz w:val="28"/>
          <w:szCs w:val="28"/>
          <w:lang w:val="ru-RU"/>
        </w:rPr>
        <w:t>7</w:t>
      </w:r>
      <w:r>
        <w:rPr>
          <w:sz w:val="28"/>
          <w:szCs w:val="28"/>
        </w:rPr>
        <w:t xml:space="preserve"> </w:t>
      </w:r>
      <w:r>
        <w:rPr>
          <w:sz w:val="28"/>
          <w:szCs w:val="28"/>
          <w:lang w:val="ru-RU"/>
        </w:rPr>
        <w:t>октября</w:t>
      </w:r>
      <w:r>
        <w:rPr>
          <w:sz w:val="28"/>
          <w:szCs w:val="28"/>
        </w:rPr>
        <w:t xml:space="preserve"> 20</w:t>
      </w:r>
      <w:r>
        <w:rPr>
          <w:rFonts w:hint="default"/>
          <w:sz w:val="28"/>
          <w:szCs w:val="28"/>
          <w:lang w:val="ru-RU"/>
        </w:rPr>
        <w:t>25</w:t>
      </w:r>
      <w:r>
        <w:rPr>
          <w:sz w:val="28"/>
          <w:szCs w:val="28"/>
        </w:rPr>
        <w:t xml:space="preserve"> г. №</w:t>
      </w:r>
      <w:r>
        <w:rPr>
          <w:rFonts w:hint="default"/>
          <w:sz w:val="28"/>
          <w:szCs w:val="28"/>
          <w:lang w:val="ru-RU"/>
        </w:rPr>
        <w:t>65</w:t>
      </w:r>
      <w:r>
        <w:rPr>
          <w:sz w:val="28"/>
          <w:szCs w:val="28"/>
        </w:rPr>
        <w:t xml:space="preserve"> «</w:t>
      </w:r>
      <w:r>
        <w:rPr>
          <w:sz w:val="28"/>
          <w:szCs w:val="28"/>
          <w:lang w:val="ru-RU"/>
        </w:rPr>
        <w:t>О</w:t>
      </w:r>
      <w:r>
        <w:rPr>
          <w:rFonts w:hint="default"/>
          <w:sz w:val="28"/>
          <w:szCs w:val="28"/>
          <w:lang w:val="ru-RU"/>
        </w:rPr>
        <w:t xml:space="preserve"> вопросах государственных закупок товаров (работ, услуг).</w:t>
      </w:r>
    </w:p>
    <w:p>
      <w:pPr>
        <w:pStyle w:val="15"/>
        <w:jc w:val="both"/>
        <w:rPr>
          <w:sz w:val="28"/>
          <w:szCs w:val="28"/>
        </w:rPr>
      </w:pPr>
    </w:p>
    <w:p>
      <w:pPr>
        <w:pStyle w:val="15"/>
        <w:jc w:val="both"/>
        <w:rPr>
          <w:b/>
          <w:sz w:val="28"/>
          <w:szCs w:val="28"/>
        </w:rPr>
      </w:pPr>
      <w:r>
        <w:rPr>
          <w:b/>
          <w:sz w:val="28"/>
          <w:szCs w:val="28"/>
        </w:rPr>
        <w:t xml:space="preserve">V. Условия применения преференциальной поправки </w:t>
      </w:r>
    </w:p>
    <w:p>
      <w:pPr>
        <w:numPr>
          <w:ilvl w:val="0"/>
          <w:numId w:val="0"/>
        </w:numPr>
        <w:ind w:left="0" w:firstLine="567"/>
        <w:jc w:val="both"/>
        <w:rPr>
          <w:b/>
          <w:sz w:val="28"/>
          <w:szCs w:val="28"/>
        </w:rPr>
      </w:pPr>
      <w:r>
        <w:rPr>
          <w:sz w:val="28"/>
          <w:szCs w:val="28"/>
        </w:rPr>
        <w:t xml:space="preserve">Преференциальная поправка применяется к товару (работе, услуге), указанному в предложении участника и </w:t>
      </w:r>
      <w:r>
        <w:rPr>
          <w:sz w:val="28"/>
          <w:szCs w:val="28"/>
          <w:u w:val="single"/>
        </w:rPr>
        <w:t>являющемуся предметом государственной закупки</w:t>
      </w:r>
      <w:r>
        <w:rPr>
          <w:sz w:val="28"/>
          <w:szCs w:val="28"/>
        </w:rPr>
        <w:t>.</w:t>
      </w:r>
    </w:p>
    <w:p>
      <w:pPr>
        <w:numPr>
          <w:ilvl w:val="0"/>
          <w:numId w:val="0"/>
        </w:numPr>
        <w:ind w:left="0" w:firstLine="567"/>
        <w:jc w:val="both"/>
        <w:rPr>
          <w:rFonts w:hint="default" w:ascii="Times New Roman" w:hAnsi="Times New Roman" w:cs="Times New Roman"/>
          <w:sz w:val="28"/>
          <w:szCs w:val="28"/>
        </w:rPr>
      </w:pPr>
      <w:r>
        <w:rPr>
          <w:rFonts w:hint="default" w:ascii="Times New Roman" w:hAnsi="Times New Roman" w:cs="Times New Roman"/>
          <w:sz w:val="28"/>
          <w:szCs w:val="28"/>
        </w:rPr>
        <w:t>При проведении электронного аукциона применяется преференциальная поправка в размере</w:t>
      </w:r>
      <w:r>
        <w:rPr>
          <w:rFonts w:hint="default" w:ascii="Times New Roman" w:hAnsi="Times New Roman" w:cs="Times New Roman"/>
          <w:sz w:val="28"/>
          <w:szCs w:val="28"/>
          <w:lang w:val="ru-RU"/>
        </w:rPr>
        <w:t xml:space="preserve"> 25 процентов </w:t>
      </w:r>
      <w:r>
        <w:rPr>
          <w:rFonts w:hint="default" w:ascii="Times New Roman" w:hAnsi="Times New Roman" w:eastAsia="Times New Roman" w:cs="Times New Roman"/>
          <w:i w:val="0"/>
          <w:iCs w:val="0"/>
          <w:caps w:val="0"/>
          <w:color w:val="000000"/>
          <w:spacing w:val="0"/>
          <w:sz w:val="28"/>
          <w:szCs w:val="28"/>
          <w:shd w:val="clear" w:fill="FFFFFF"/>
        </w:rPr>
        <w:t>в случае предложения участником включенных в</w:t>
      </w:r>
      <w:r>
        <w:rPr>
          <w:rFonts w:hint="default" w:ascii="Times New Roman" w:hAnsi="Times New Roman" w:eastAsia="Times New Roman" w:cs="Times New Roman"/>
          <w:i w:val="0"/>
          <w:iCs w:val="0"/>
          <w:caps w:val="0"/>
          <w:color w:val="auto"/>
          <w:spacing w:val="0"/>
          <w:sz w:val="28"/>
          <w:szCs w:val="28"/>
          <w:u w:val="none"/>
          <w:shd w:val="clear" w:fill="FFFFFF"/>
        </w:rPr>
        <w:t> </w:t>
      </w:r>
      <w:r>
        <w:rPr>
          <w:rFonts w:hint="default" w:ascii="Times New Roman" w:hAnsi="Times New Roman" w:eastAsia="Times New Roman" w:cs="Times New Roman"/>
          <w:i w:val="0"/>
          <w:iCs w:val="0"/>
          <w:caps w:val="0"/>
          <w:color w:val="auto"/>
          <w:spacing w:val="0"/>
          <w:sz w:val="28"/>
          <w:szCs w:val="28"/>
          <w:u w:val="none"/>
          <w:shd w:val="clear" w:fill="FFFFFF"/>
        </w:rPr>
        <w:fldChar w:fldCharType="begin"/>
      </w:r>
      <w:r>
        <w:rPr>
          <w:rFonts w:hint="default" w:ascii="Times New Roman" w:hAnsi="Times New Roman" w:eastAsia="Times New Roman" w:cs="Times New Roman"/>
          <w:i w:val="0"/>
          <w:iCs w:val="0"/>
          <w:caps w:val="0"/>
          <w:color w:val="auto"/>
          <w:spacing w:val="0"/>
          <w:sz w:val="28"/>
          <w:szCs w:val="28"/>
          <w:u w:val="none"/>
          <w:shd w:val="clear" w:fill="FFFFFF"/>
        </w:rPr>
        <w:instrText xml:space="preserve"> HYPERLINK "https://normativka.by/lib/compare/500273843/rev/2025012400-2024101600" \l "anchor=%D0%9F%D1%80%D0%B8%D0%BB_13" \t "https://normativka.by/api/document/_parent" </w:instrText>
      </w:r>
      <w:r>
        <w:rPr>
          <w:rFonts w:hint="default" w:ascii="Times New Roman" w:hAnsi="Times New Roman" w:eastAsia="Times New Roman" w:cs="Times New Roman"/>
          <w:i w:val="0"/>
          <w:iCs w:val="0"/>
          <w:caps w:val="0"/>
          <w:color w:val="auto"/>
          <w:spacing w:val="0"/>
          <w:sz w:val="28"/>
          <w:szCs w:val="28"/>
          <w:u w:val="none"/>
          <w:shd w:val="clear" w:fill="FFFFFF"/>
        </w:rPr>
        <w:fldChar w:fldCharType="separate"/>
      </w:r>
      <w:r>
        <w:rPr>
          <w:rStyle w:val="6"/>
          <w:rFonts w:hint="default" w:ascii="Times New Roman" w:hAnsi="Times New Roman" w:eastAsia="Times New Roman" w:cs="Times New Roman"/>
          <w:i w:val="0"/>
          <w:iCs w:val="0"/>
          <w:caps w:val="0"/>
          <w:color w:val="auto"/>
          <w:spacing w:val="0"/>
          <w:sz w:val="28"/>
          <w:szCs w:val="28"/>
          <w:u w:val="none"/>
          <w:shd w:val="clear" w:fill="FFFFFF"/>
        </w:rPr>
        <w:t>приложение 1</w:t>
      </w:r>
      <w:r>
        <w:rPr>
          <w:rStyle w:val="6"/>
          <w:rFonts w:hint="default" w:ascii="Times New Roman" w:hAnsi="Times New Roman" w:eastAsia="Times New Roman" w:cs="Times New Roman"/>
          <w:i w:val="0"/>
          <w:iCs w:val="0"/>
          <w:caps w:val="0"/>
          <w:color w:val="auto"/>
          <w:spacing w:val="0"/>
          <w:sz w:val="28"/>
          <w:szCs w:val="28"/>
          <w:u w:val="none"/>
          <w:shd w:val="clear" w:fill="FFFFFF"/>
          <w:vertAlign w:val="superscript"/>
        </w:rPr>
        <w:t>3</w:t>
      </w:r>
      <w:r>
        <w:rPr>
          <w:rFonts w:hint="default" w:ascii="Times New Roman" w:hAnsi="Times New Roman" w:eastAsia="Times New Roman" w:cs="Times New Roman"/>
          <w:i w:val="0"/>
          <w:iCs w:val="0"/>
          <w:caps w:val="0"/>
          <w:color w:val="auto"/>
          <w:spacing w:val="0"/>
          <w:sz w:val="28"/>
          <w:szCs w:val="28"/>
          <w:u w:val="none"/>
          <w:shd w:val="clear" w:fill="FFFFFF"/>
        </w:rPr>
        <w:fldChar w:fldCharType="end"/>
      </w:r>
      <w:r>
        <w:rPr>
          <w:rFonts w:hint="default" w:ascii="Times New Roman" w:hAnsi="Times New Roman" w:eastAsia="Times New Roman" w:cs="Times New Roman"/>
          <w:i w:val="0"/>
          <w:iCs w:val="0"/>
          <w:caps w:val="0"/>
          <w:color w:val="auto"/>
          <w:spacing w:val="0"/>
          <w:sz w:val="28"/>
          <w:szCs w:val="28"/>
          <w:u w:val="none"/>
          <w:shd w:val="clear" w:fill="FFFFFF"/>
          <w:lang w:val="ru-RU"/>
        </w:rPr>
        <w:t xml:space="preserve"> к постановлению Совета Министров Республики Беларусь </w:t>
      </w:r>
      <w:r>
        <w:rPr>
          <w:rFonts w:hint="default" w:cs="Times New Roman"/>
          <w:i w:val="0"/>
          <w:iCs w:val="0"/>
          <w:caps w:val="0"/>
          <w:color w:val="auto"/>
          <w:spacing w:val="0"/>
          <w:sz w:val="28"/>
          <w:szCs w:val="28"/>
          <w:u w:val="none"/>
          <w:shd w:val="clear" w:fill="FFFFFF"/>
          <w:lang w:val="ru-RU"/>
        </w:rPr>
        <w:t xml:space="preserve">от 15.06.2019 </w:t>
      </w:r>
      <w:r>
        <w:rPr>
          <w:rFonts w:hint="default" w:ascii="Times New Roman" w:hAnsi="Times New Roman" w:eastAsia="Times New Roman" w:cs="Times New Roman"/>
          <w:i w:val="0"/>
          <w:iCs w:val="0"/>
          <w:caps w:val="0"/>
          <w:color w:val="auto"/>
          <w:spacing w:val="0"/>
          <w:sz w:val="28"/>
          <w:szCs w:val="28"/>
          <w:u w:val="none"/>
          <w:shd w:val="clear" w:fill="FFFFFF"/>
          <w:lang w:val="ru-RU"/>
        </w:rPr>
        <w:t xml:space="preserve">№395 </w:t>
      </w:r>
      <w:r>
        <w:rPr>
          <w:rFonts w:hint="default" w:ascii="Times New Roman" w:hAnsi="Times New Roman" w:eastAsia="Times New Roman" w:cs="Times New Roman"/>
          <w:i w:val="0"/>
          <w:iCs w:val="0"/>
          <w:caps w:val="0"/>
          <w:color w:val="000000"/>
          <w:spacing w:val="0"/>
          <w:sz w:val="28"/>
          <w:szCs w:val="28"/>
          <w:shd w:val="clear" w:fill="FFFFFF"/>
        </w:rPr>
        <w:t>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pPr>
        <w:pStyle w:val="15"/>
        <w:ind w:firstLine="700" w:firstLineChars="250"/>
        <w:jc w:val="both"/>
        <w:rPr>
          <w:sz w:val="28"/>
          <w:szCs w:val="28"/>
        </w:rPr>
      </w:pPr>
      <w:bookmarkStart w:id="3" w:name="_Hlk125532927"/>
      <w:r>
        <w:rPr>
          <w:sz w:val="28"/>
          <w:szCs w:val="28"/>
        </w:rPr>
        <w:t xml:space="preserve">В случае выбора победителем участника, предлагающего товары (работы, услуги), указанные в </w:t>
      </w:r>
      <w:r>
        <w:fldChar w:fldCharType="begin"/>
      </w:r>
      <w:r>
        <w:instrText xml:space="preserve"> HYPERLINK \l "Par0" </w:instrText>
      </w:r>
      <w:r>
        <w:fldChar w:fldCharType="separate"/>
      </w:r>
      <w:r>
        <w:rPr>
          <w:sz w:val="28"/>
          <w:szCs w:val="28"/>
        </w:rPr>
        <w:t>части первой</w:t>
      </w:r>
      <w:r>
        <w:rPr>
          <w:sz w:val="28"/>
          <w:szCs w:val="28"/>
        </w:rPr>
        <w:fldChar w:fldCharType="end"/>
      </w:r>
      <w:r>
        <w:rPr>
          <w:sz w:val="28"/>
          <w:szCs w:val="28"/>
        </w:rPr>
        <w:t xml:space="preserve"> настоящего подпункта, договор государственной закупки (далее - договор) заключается с ним по цене последней ставки данного участника, в том числе с учетом корректировки в соответствии с </w:t>
      </w:r>
      <w:r>
        <w:fldChar w:fldCharType="begin"/>
      </w:r>
      <w:r>
        <w:instrText xml:space="preserve"> HYPERLINK "consultantplus://offline/ref=0495D23E9FCF801A735164C6AA1DB16B508EB2B602C62907A8134C219A4609A55C2DEAB4251AE7AD42757EBB50MExDN" </w:instrText>
      </w:r>
      <w:r>
        <w:fldChar w:fldCharType="separate"/>
      </w:r>
      <w:r>
        <w:rPr>
          <w:sz w:val="28"/>
          <w:szCs w:val="28"/>
        </w:rPr>
        <w:t>частью четвертой пункта 5 статьи 43</w:t>
      </w:r>
      <w:r>
        <w:rPr>
          <w:sz w:val="28"/>
          <w:szCs w:val="28"/>
        </w:rPr>
        <w:fldChar w:fldCharType="end"/>
      </w:r>
      <w:r>
        <w:rPr>
          <w:sz w:val="28"/>
          <w:szCs w:val="28"/>
        </w:rPr>
        <w:t xml:space="preserve"> Закона Республики Беларусь от 13 июля 2012 г.</w:t>
      </w:r>
      <w:r>
        <w:rPr>
          <w:rFonts w:hint="default"/>
          <w:sz w:val="28"/>
          <w:szCs w:val="28"/>
          <w:lang w:val="ru-RU"/>
        </w:rPr>
        <w:t xml:space="preserve"> № 419-З</w:t>
      </w:r>
      <w:r>
        <w:rPr>
          <w:sz w:val="28"/>
          <w:szCs w:val="28"/>
        </w:rPr>
        <w:t xml:space="preserve"> "О государственных закупках товаров (работ, услуг)", увеличенной соответственно на </w:t>
      </w:r>
      <w:r>
        <w:rPr>
          <w:rFonts w:hint="default"/>
          <w:sz w:val="28"/>
          <w:szCs w:val="28"/>
          <w:lang w:val="ru-RU"/>
        </w:rPr>
        <w:t>25</w:t>
      </w:r>
      <w:r>
        <w:rPr>
          <w:sz w:val="28"/>
          <w:szCs w:val="28"/>
        </w:rPr>
        <w:t>.</w:t>
      </w:r>
    </w:p>
    <w:p>
      <w:pPr>
        <w:pStyle w:val="15"/>
        <w:numPr>
          <w:ilvl w:val="0"/>
          <w:numId w:val="0"/>
        </w:numPr>
        <w:ind w:left="-87" w:leftChars="0" w:firstLine="567" w:firstLineChars="0"/>
        <w:jc w:val="both"/>
        <w:rPr>
          <w:sz w:val="28"/>
          <w:szCs w:val="28"/>
        </w:rPr>
      </w:pPr>
      <w:r>
        <w:rPr>
          <w:rFonts w:hint="default"/>
          <w:sz w:val="28"/>
          <w:szCs w:val="28"/>
          <w:lang w:val="ru-RU"/>
        </w:rPr>
        <w:t xml:space="preserve">      </w:t>
      </w:r>
      <w:r>
        <w:rPr>
          <w:sz w:val="28"/>
          <w:szCs w:val="28"/>
        </w:rPr>
        <w:t>Преференциальная поправка не применяется в отношении части товаров (работ, услуг), являющихся предметом государственной закупки, в том числе его лотом (частью)</w:t>
      </w:r>
      <w:r>
        <w:rPr>
          <w:rFonts w:hint="default"/>
          <w:sz w:val="28"/>
          <w:szCs w:val="28"/>
          <w:lang w:val="ru-RU"/>
        </w:rPr>
        <w:t>.</w:t>
      </w:r>
    </w:p>
    <w:bookmarkEnd w:id="3"/>
    <w:p>
      <w:pPr>
        <w:ind w:firstLine="709"/>
        <w:jc w:val="both"/>
        <w:rPr>
          <w:b/>
          <w:sz w:val="28"/>
          <w:szCs w:val="28"/>
        </w:rPr>
      </w:pPr>
      <w:r>
        <w:rPr>
          <w:rFonts w:hint="default"/>
          <w:b/>
          <w:sz w:val="28"/>
          <w:szCs w:val="28"/>
          <w:lang w:val="ru-RU"/>
        </w:rPr>
        <w:t>3</w:t>
      </w:r>
      <w:r>
        <w:rPr>
          <w:b/>
          <w:sz w:val="28"/>
          <w:szCs w:val="28"/>
        </w:rPr>
        <w:t>. При проведении процедуры государственной закупки документами, подтверждающими право на применение преференциальной поправки, являются:</w:t>
      </w:r>
    </w:p>
    <w:tbl>
      <w:tblPr>
        <w:tblStyle w:val="4"/>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2"/>
        <w:gridCol w:w="6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shd w:val="clear" w:color="auto" w:fill="auto"/>
          </w:tcPr>
          <w:p>
            <w:pPr>
              <w:contextualSpacing/>
              <w:jc w:val="both"/>
              <w:rPr>
                <w:rFonts w:ascii="Calibri" w:hAnsi="Calibri" w:eastAsia="Calibri"/>
                <w:b/>
                <w:sz w:val="28"/>
                <w:szCs w:val="28"/>
              </w:rPr>
            </w:pPr>
            <w:r>
              <w:rPr>
                <w:rFonts w:eastAsia="Calibri"/>
                <w:sz w:val="28"/>
                <w:szCs w:val="28"/>
              </w:rPr>
              <w:t xml:space="preserve">в размере </w:t>
            </w:r>
            <w:r>
              <w:rPr>
                <w:rFonts w:hint="default" w:eastAsia="Calibri"/>
                <w:sz w:val="28"/>
                <w:szCs w:val="28"/>
                <w:lang w:val="ru-RU"/>
              </w:rPr>
              <w:t>2</w:t>
            </w:r>
            <w:r>
              <w:rPr>
                <w:rFonts w:eastAsia="Calibri"/>
                <w:sz w:val="28"/>
                <w:szCs w:val="28"/>
              </w:rPr>
              <w:t>5 процентов</w:t>
            </w:r>
          </w:p>
        </w:tc>
        <w:tc>
          <w:tcPr>
            <w:tcW w:w="6946" w:type="dxa"/>
            <w:shd w:val="clear" w:color="auto" w:fill="auto"/>
          </w:tcPr>
          <w:p>
            <w:pPr>
              <w:jc w:val="both"/>
              <w:rPr>
                <w:rFonts w:hint="default" w:ascii="Calibri" w:hAnsi="Calibri" w:eastAsia="Calibri"/>
                <w:b/>
                <w:sz w:val="28"/>
                <w:szCs w:val="28"/>
                <w:lang w:val="ru-RU"/>
              </w:rPr>
            </w:pPr>
            <w:r>
              <w:rPr>
                <w:rFonts w:hint="default" w:ascii="Times New Roman" w:hAnsi="Times New Roman" w:eastAsia="Times New Roman" w:cs="Times New Roman"/>
                <w:i w:val="0"/>
                <w:iCs w:val="0"/>
                <w:caps w:val="0"/>
                <w:color w:val="000000"/>
                <w:spacing w:val="0"/>
                <w:sz w:val="28"/>
                <w:szCs w:val="28"/>
                <w:shd w:val="clear" w:fill="FFFFFF"/>
                <w:lang w:val="ru-RU"/>
              </w:rPr>
              <w:t xml:space="preserve">- </w:t>
            </w:r>
            <w:r>
              <w:rPr>
                <w:rFonts w:hint="default" w:ascii="Times New Roman" w:hAnsi="Times New Roman" w:eastAsia="Times New Roman" w:cs="Times New Roman"/>
                <w:i w:val="0"/>
                <w:iCs w:val="0"/>
                <w:caps w:val="0"/>
                <w:color w:val="000000"/>
                <w:spacing w:val="0"/>
                <w:sz w:val="28"/>
                <w:szCs w:val="28"/>
                <w:shd w:val="clear" w:fill="FFFFFF"/>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r>
              <w:rPr>
                <w:rFonts w:hint="default" w:cs="Times New Roman"/>
                <w:i w:val="0"/>
                <w:iCs w:val="0"/>
                <w:caps w:val="0"/>
                <w:color w:val="000000"/>
                <w:spacing w:val="0"/>
                <w:sz w:val="28"/>
                <w:szCs w:val="28"/>
                <w:shd w:val="clear" w:fill="FFFFFF"/>
                <w:lang w:val="ru-RU"/>
              </w:rPr>
              <w:t xml:space="preserve">, а также </w:t>
            </w:r>
            <w:r>
              <w:rPr>
                <w:rFonts w:hint="default" w:ascii="Times New Roman" w:hAnsi="Times New Roman" w:eastAsia="Times New Roman" w:cs="Times New Roman"/>
                <w:i w:val="0"/>
                <w:iCs w:val="0"/>
                <w:caps w:val="0"/>
                <w:color w:val="000000"/>
                <w:spacing w:val="0"/>
                <w:sz w:val="28"/>
                <w:szCs w:val="28"/>
                <w:shd w:val="clear" w:fill="FFFFFF"/>
              </w:rPr>
              <w:t>сертификат продукции собственного производства, выданный Белорусской торгово-промышленной палатой или ее унитарными предприятиями, или его копия</w:t>
            </w:r>
            <w:r>
              <w:rPr>
                <w:rFonts w:hint="default" w:ascii="Times New Roman" w:hAnsi="Times New Roman" w:eastAsia="Times New Roman" w:cs="Times New Roman"/>
                <w:i w:val="0"/>
                <w:iCs w:val="0"/>
                <w:caps w:val="0"/>
                <w:color w:val="000000"/>
                <w:spacing w:val="0"/>
                <w:sz w:val="28"/>
                <w:szCs w:val="28"/>
                <w:shd w:val="clear" w:fill="FFFFFF"/>
                <w:lang w:val="ru-RU"/>
              </w:rPr>
              <w:t>.</w:t>
            </w:r>
          </w:p>
        </w:tc>
      </w:tr>
    </w:tbl>
    <w:p>
      <w:pPr>
        <w:numPr>
          <w:ilvl w:val="0"/>
          <w:numId w:val="0"/>
        </w:numPr>
        <w:jc w:val="both"/>
        <w:rPr>
          <w:sz w:val="28"/>
          <w:szCs w:val="28"/>
        </w:rPr>
      </w:pPr>
    </w:p>
    <w:p>
      <w:pPr>
        <w:numPr>
          <w:ilvl w:val="0"/>
          <w:numId w:val="1"/>
        </w:numPr>
        <w:ind w:left="0" w:leftChars="0" w:firstLine="567" w:firstLineChars="0"/>
        <w:jc w:val="both"/>
        <w:rPr>
          <w:sz w:val="28"/>
          <w:szCs w:val="28"/>
        </w:rPr>
      </w:pPr>
      <w:r>
        <w:rPr>
          <w:sz w:val="28"/>
          <w:szCs w:val="28"/>
        </w:rPr>
        <w:t xml:space="preserve">Заявление на право применения преференциальной поправки должно быть предоставлено по форме, установленной регламентом оператора электронной торговой площадки в </w:t>
      </w:r>
      <w:r>
        <w:rPr>
          <w:b/>
          <w:sz w:val="28"/>
          <w:szCs w:val="28"/>
          <w:lang w:val="en-US"/>
        </w:rPr>
        <w:t>I</w:t>
      </w:r>
      <w:r>
        <w:rPr>
          <w:b/>
          <w:sz w:val="28"/>
          <w:szCs w:val="28"/>
        </w:rPr>
        <w:t xml:space="preserve"> разделе</w:t>
      </w:r>
      <w:r>
        <w:rPr>
          <w:sz w:val="28"/>
          <w:szCs w:val="28"/>
        </w:rPr>
        <w:t>.</w:t>
      </w:r>
    </w:p>
    <w:p>
      <w:pPr>
        <w:ind w:firstLine="567"/>
        <w:jc w:val="both"/>
        <w:rPr>
          <w:b/>
          <w:sz w:val="28"/>
          <w:szCs w:val="28"/>
          <w:u w:val="single"/>
        </w:rPr>
      </w:pPr>
      <w:r>
        <w:rPr>
          <w:b/>
          <w:sz w:val="28"/>
          <w:szCs w:val="28"/>
          <w:u w:val="single"/>
        </w:rPr>
        <w:t xml:space="preserve">Документы, подтверждающие право на применение преференциальной поправки, предоставляются с документами </w:t>
      </w:r>
      <w:r>
        <w:rPr>
          <w:b/>
          <w:sz w:val="28"/>
          <w:szCs w:val="28"/>
          <w:u w:val="single"/>
          <w:lang w:val="en-US"/>
        </w:rPr>
        <w:t>I</w:t>
      </w:r>
      <w:r>
        <w:rPr>
          <w:b/>
          <w:sz w:val="28"/>
          <w:szCs w:val="28"/>
          <w:u w:val="single"/>
        </w:rPr>
        <w:t xml:space="preserve"> раздела.</w:t>
      </w:r>
    </w:p>
    <w:p>
      <w:pPr>
        <w:ind w:firstLine="709"/>
        <w:jc w:val="both"/>
        <w:rPr>
          <w:b/>
          <w:sz w:val="28"/>
          <w:szCs w:val="28"/>
        </w:rPr>
      </w:pPr>
    </w:p>
    <w:p>
      <w:pPr>
        <w:ind w:firstLine="709"/>
        <w:jc w:val="both"/>
        <w:rPr>
          <w:sz w:val="28"/>
          <w:szCs w:val="28"/>
        </w:rPr>
      </w:pPr>
      <w:r>
        <w:rPr>
          <w:b/>
          <w:sz w:val="28"/>
          <w:szCs w:val="28"/>
          <w:lang w:val="en-US"/>
        </w:rPr>
        <w:t>VI</w:t>
      </w:r>
      <w:r>
        <w:rPr>
          <w:b/>
          <w:sz w:val="28"/>
          <w:szCs w:val="28"/>
        </w:rPr>
        <w:t>. Размер и порядок оплаты услуг организатора</w:t>
      </w:r>
    </w:p>
    <w:p>
      <w:pPr>
        <w:pStyle w:val="15"/>
        <w:spacing w:before="240"/>
        <w:ind w:firstLine="709"/>
        <w:contextualSpacing/>
        <w:jc w:val="both"/>
        <w:rPr>
          <w:sz w:val="28"/>
          <w:szCs w:val="28"/>
        </w:rPr>
      </w:pPr>
      <w:r>
        <w:rPr>
          <w:sz w:val="28"/>
          <w:szCs w:val="28"/>
        </w:rPr>
        <w:t>Оплата услуг организатора не предусмотрена.</w:t>
      </w:r>
    </w:p>
    <w:p>
      <w:pPr>
        <w:pStyle w:val="15"/>
        <w:ind w:firstLine="540"/>
        <w:jc w:val="both"/>
        <w:rPr>
          <w:color w:val="FF0000"/>
          <w:sz w:val="28"/>
          <w:szCs w:val="28"/>
        </w:rPr>
      </w:pPr>
    </w:p>
    <w:p>
      <w:pPr>
        <w:pStyle w:val="15"/>
        <w:ind w:firstLine="540"/>
        <w:jc w:val="both"/>
        <w:rPr>
          <w:b/>
          <w:sz w:val="28"/>
          <w:szCs w:val="28"/>
        </w:rPr>
      </w:pPr>
      <w:r>
        <w:rPr>
          <w:b/>
          <w:sz w:val="28"/>
          <w:szCs w:val="28"/>
          <w:lang w:val="en-US"/>
        </w:rPr>
        <w:t>VII</w:t>
      </w:r>
      <w:r>
        <w:rPr>
          <w:b/>
          <w:sz w:val="28"/>
          <w:szCs w:val="28"/>
        </w:rPr>
        <w:t>. Требования к содержанию и форме предложения</w:t>
      </w:r>
    </w:p>
    <w:p>
      <w:pPr>
        <w:pStyle w:val="15"/>
        <w:jc w:val="both"/>
        <w:rPr>
          <w:b/>
          <w:sz w:val="28"/>
          <w:szCs w:val="28"/>
        </w:rPr>
      </w:pPr>
    </w:p>
    <w:p>
      <w:pPr>
        <w:pStyle w:val="15"/>
        <w:ind w:firstLine="540"/>
        <w:jc w:val="both"/>
        <w:rPr>
          <w:sz w:val="28"/>
          <w:szCs w:val="28"/>
        </w:rPr>
      </w:pPr>
      <w:r>
        <w:rPr>
          <w:sz w:val="28"/>
          <w:szCs w:val="28"/>
        </w:rPr>
        <w:t>Предложение составляется участником на русском и (или) белорусском языках и подается посредством его размещения на электронной торговой площадке в срок для подготовки и подачи предложений.</w:t>
      </w:r>
    </w:p>
    <w:p>
      <w:pPr>
        <w:pStyle w:val="15"/>
        <w:ind w:firstLine="540"/>
        <w:jc w:val="both"/>
        <w:rPr>
          <w:sz w:val="28"/>
          <w:szCs w:val="28"/>
        </w:rPr>
      </w:pPr>
      <w:r>
        <w:rPr>
          <w:sz w:val="28"/>
          <w:szCs w:val="28"/>
        </w:rPr>
        <w:t>Предложение участника должно быть оформлено в виде электронного документа в соответствии с требованиями Закона и с учетом регламента оператора электронной торговой площадки.</w:t>
      </w:r>
    </w:p>
    <w:p>
      <w:pPr>
        <w:pStyle w:val="15"/>
        <w:ind w:firstLine="540"/>
        <w:jc w:val="both"/>
        <w:rPr>
          <w:color w:val="000000"/>
          <w:sz w:val="28"/>
          <w:szCs w:val="28"/>
        </w:rPr>
      </w:pPr>
      <w:r>
        <w:rPr>
          <w:color w:val="000000"/>
          <w:sz w:val="28"/>
          <w:szCs w:val="28"/>
        </w:rPr>
        <w:t>Участник должен предложить лекарственное средство одного производителя.</w:t>
      </w:r>
    </w:p>
    <w:p>
      <w:pPr>
        <w:pStyle w:val="15"/>
        <w:ind w:firstLine="540"/>
        <w:jc w:val="both"/>
        <w:rPr>
          <w:color w:val="000000"/>
          <w:sz w:val="28"/>
          <w:szCs w:val="28"/>
        </w:rPr>
      </w:pPr>
      <w:r>
        <w:rPr>
          <w:color w:val="000000"/>
          <w:sz w:val="28"/>
          <w:szCs w:val="28"/>
        </w:rPr>
        <w:t>В случае, если лекарственное средство является зарегистрированным в Республике Беларусь или зарегистрированное в рамках Евразийского экономического союза, качество поставляемого товара должно соответствовать нормативно-технической документации, зарегистрированной в Министерстве здравоохранения Республики Беларусь.</w:t>
      </w:r>
    </w:p>
    <w:p>
      <w:pPr>
        <w:pStyle w:val="15"/>
        <w:ind w:firstLine="420" w:firstLineChars="150"/>
        <w:jc w:val="both"/>
        <w:rPr>
          <w:sz w:val="28"/>
          <w:szCs w:val="28"/>
        </w:rPr>
      </w:pPr>
      <w:r>
        <w:rPr>
          <w:sz w:val="28"/>
          <w:szCs w:val="28"/>
        </w:rPr>
        <w:t>Допускаются к участию в процедуре государственной закупки зарегистрированных лекарственных средств лекарственные средства в упаковке с дизайном, отличным от согласованного Министерством здравоохранения Республики Беларусь, произведенные для российского рынка с приложением к каждой упаковке инструкции, согласованной при регистрации в Республике Беларусь, в случае наличия существенных отличий между инструкцией, утвержденной в Российской Федерации и в Республике Беларусь, для использования в условиях стационара и реализации через аптечную сеть предприятий системы «Фармация»;</w:t>
      </w:r>
    </w:p>
    <w:p>
      <w:pPr>
        <w:pStyle w:val="15"/>
        <w:ind w:firstLine="540"/>
        <w:jc w:val="both"/>
        <w:rPr>
          <w:sz w:val="28"/>
          <w:szCs w:val="28"/>
        </w:rPr>
      </w:pPr>
      <w:r>
        <w:rPr>
          <w:sz w:val="28"/>
          <w:szCs w:val="28"/>
        </w:rPr>
        <w:t xml:space="preserve"> произведенные для иных рынков, при предоставлении русскоязычной инструкции (согласованной при регистрации в Республике Беларусь) для каждой упаковки поставляемого лекарственного средства, для использования исключительно в условиях стационара, либо с русскоязычным стикером и с предоставлением русскоязычной инструкции (согласованной при регистрации в Республике Беларусь)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«Фармация».</w:t>
      </w:r>
    </w:p>
    <w:p>
      <w:pPr>
        <w:pStyle w:val="15"/>
        <w:ind w:firstLine="540"/>
        <w:jc w:val="both"/>
        <w:rPr>
          <w:sz w:val="28"/>
          <w:szCs w:val="28"/>
        </w:rPr>
      </w:pPr>
      <w:r>
        <w:rPr>
          <w:sz w:val="28"/>
          <w:szCs w:val="28"/>
        </w:rPr>
        <w:t>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 соответствующими ранее согласованным дизайну и инструкции, при условии, что данные лекарственные средства произведены не позднее 180 дней с момента утверждения изменений.</w:t>
      </w:r>
    </w:p>
    <w:p>
      <w:pPr>
        <w:pStyle w:val="15"/>
        <w:ind w:firstLine="540"/>
        <w:jc w:val="both"/>
        <w:rPr>
          <w:sz w:val="28"/>
          <w:szCs w:val="28"/>
        </w:rPr>
      </w:pPr>
      <w:r>
        <w:rPr>
          <w:sz w:val="28"/>
          <w:szCs w:val="28"/>
        </w:rPr>
        <w:t>Качество поставляемого товара должно соответствовать нормативно-технической документации, зарегистрированной в Министерстве здравоохранения Республики Беларусь.</w:t>
      </w:r>
    </w:p>
    <w:p>
      <w:pPr>
        <w:pStyle w:val="15"/>
        <w:ind w:firstLine="567"/>
        <w:jc w:val="both"/>
        <w:rPr>
          <w:color w:val="000000"/>
          <w:sz w:val="28"/>
          <w:szCs w:val="28"/>
        </w:rPr>
      </w:pPr>
      <w:r>
        <w:rPr>
          <w:color w:val="000000"/>
          <w:sz w:val="28"/>
          <w:szCs w:val="28"/>
        </w:rPr>
        <w:t>В случае, если участник предлагает к поставке лекарственное средство, на которое зарегистрирована предельная отпускная цена производителя, то предложение такого участника не может ее превышать. Предложение участника на поставку лекарственного средства отклоняется, если закупаемое лекарственное средство включено в перечень лекарственных препаратов, предельные отпускные цены на которые подлежат регистрации, но цена на предложенное к поставке лекарственное средство не зарегистрирована (отсутствует в «Государственном реестре предельных отпускных цен производителей на лекарственные средства»).</w:t>
      </w:r>
    </w:p>
    <w:p>
      <w:pPr>
        <w:pStyle w:val="15"/>
        <w:ind w:firstLine="560" w:firstLineChars="200"/>
        <w:jc w:val="both"/>
        <w:rPr>
          <w:sz w:val="28"/>
          <w:szCs w:val="28"/>
        </w:rPr>
      </w:pPr>
      <w:r>
        <w:rPr>
          <w:sz w:val="28"/>
          <w:szCs w:val="28"/>
        </w:rPr>
        <w:t>При участии в электронном аукционе участник вправе подать только одно предложение на каждый из лотов.</w:t>
      </w:r>
    </w:p>
    <w:p>
      <w:pPr>
        <w:pStyle w:val="15"/>
        <w:ind w:firstLine="567"/>
        <w:jc w:val="both"/>
        <w:rPr>
          <w:sz w:val="28"/>
          <w:szCs w:val="28"/>
        </w:rPr>
      </w:pPr>
      <w:r>
        <w:rPr>
          <w:sz w:val="28"/>
          <w:szCs w:val="28"/>
        </w:rPr>
        <w:t>Остаточный срок годности лекарственных средств должен быть:</w:t>
      </w:r>
    </w:p>
    <w:p>
      <w:pPr>
        <w:numPr>
          <w:ilvl w:val="0"/>
          <w:numId w:val="2"/>
        </w:numPr>
        <w:jc w:val="both"/>
        <w:rPr>
          <w:sz w:val="28"/>
          <w:szCs w:val="28"/>
        </w:rPr>
      </w:pPr>
      <w:r>
        <w:rPr>
          <w:sz w:val="28"/>
          <w:szCs w:val="28"/>
        </w:rPr>
        <w:t xml:space="preserve">не менее </w:t>
      </w:r>
      <w:r>
        <w:rPr>
          <w:rFonts w:hint="default"/>
          <w:sz w:val="28"/>
          <w:szCs w:val="28"/>
          <w:lang w:val="ru-RU"/>
        </w:rPr>
        <w:t>3</w:t>
      </w:r>
      <w:r>
        <w:rPr>
          <w:sz w:val="28"/>
          <w:szCs w:val="28"/>
        </w:rPr>
        <w:t>0%</w:t>
      </w:r>
      <w:r>
        <w:rPr>
          <w:rFonts w:hint="default"/>
          <w:sz w:val="28"/>
          <w:szCs w:val="28"/>
          <w:lang w:val="ru-RU"/>
        </w:rPr>
        <w:t xml:space="preserve"> (общий срок годности 36 месяцев).</w:t>
      </w:r>
    </w:p>
    <w:p>
      <w:pPr>
        <w:numPr>
          <w:ilvl w:val="0"/>
          <w:numId w:val="0"/>
        </w:numPr>
        <w:jc w:val="both"/>
        <w:rPr>
          <w:rFonts w:hint="default"/>
          <w:sz w:val="28"/>
          <w:szCs w:val="28"/>
          <w:lang w:val="ru-RU"/>
        </w:rPr>
      </w:pPr>
    </w:p>
    <w:p>
      <w:pPr>
        <w:pStyle w:val="15"/>
        <w:jc w:val="both"/>
        <w:rPr>
          <w:sz w:val="28"/>
          <w:szCs w:val="28"/>
        </w:rPr>
      </w:pPr>
      <w:r>
        <w:rPr>
          <w:b/>
          <w:sz w:val="28"/>
          <w:szCs w:val="28"/>
          <w:lang w:val="en-US"/>
        </w:rPr>
        <w:t>VIII</w:t>
      </w:r>
      <w:r>
        <w:rPr>
          <w:b/>
          <w:sz w:val="28"/>
          <w:szCs w:val="28"/>
        </w:rPr>
        <w:t>. Требования к содержанию и форме предложения с учетом регламента оператора электронной торговой площадки.</w:t>
      </w:r>
    </w:p>
    <w:p>
      <w:pPr>
        <w:pStyle w:val="15"/>
        <w:ind w:firstLine="709"/>
        <w:jc w:val="both"/>
        <w:rPr>
          <w:sz w:val="28"/>
          <w:szCs w:val="28"/>
        </w:rPr>
      </w:pPr>
      <w:r>
        <w:rPr>
          <w:sz w:val="28"/>
          <w:szCs w:val="28"/>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pPr>
        <w:pStyle w:val="15"/>
        <w:ind w:firstLine="709"/>
        <w:jc w:val="both"/>
        <w:rPr>
          <w:sz w:val="28"/>
          <w:szCs w:val="28"/>
        </w:rPr>
      </w:pPr>
      <w:r>
        <w:rPr>
          <w:sz w:val="28"/>
          <w:szCs w:val="28"/>
        </w:rPr>
        <w:t xml:space="preserve">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    </w:t>
      </w:r>
    </w:p>
    <w:p>
      <w:pPr>
        <w:pStyle w:val="15"/>
        <w:ind w:firstLine="700" w:firstLineChars="250"/>
        <w:jc w:val="both"/>
      </w:pPr>
      <w:r>
        <w:rPr>
          <w:sz w:val="28"/>
          <w:szCs w:val="28"/>
        </w:rPr>
        <w:t>Предложение должно состоять из двух разделов и содержать следующие сведения:</w:t>
      </w:r>
    </w:p>
    <w:p>
      <w:pPr>
        <w:pStyle w:val="15"/>
        <w:jc w:val="both"/>
      </w:pPr>
    </w:p>
    <w:p>
      <w:pPr>
        <w:pStyle w:val="15"/>
        <w:jc w:val="center"/>
        <w:rPr>
          <w:b/>
        </w:rPr>
      </w:pPr>
      <w:r>
        <w:rPr>
          <w:b/>
        </w:rPr>
        <w:t>РАЗДЕЛ I</w:t>
      </w:r>
    </w:p>
    <w:p>
      <w:pPr>
        <w:pStyle w:val="15"/>
        <w:jc w:val="center"/>
        <w:rPr>
          <w:b/>
        </w:rPr>
      </w:pPr>
    </w:p>
    <w:p>
      <w:pPr>
        <w:pStyle w:val="15"/>
        <w:jc w:val="both"/>
        <w:rPr>
          <w:b/>
          <w:sz w:val="28"/>
          <w:szCs w:val="28"/>
        </w:rPr>
      </w:pPr>
      <w:r>
        <w:rPr>
          <w:b/>
          <w:sz w:val="28"/>
          <w:szCs w:val="28"/>
        </w:rPr>
        <w:t>В первом разделе необходимо представить:</w:t>
      </w:r>
    </w:p>
    <w:p>
      <w:pPr>
        <w:pStyle w:val="15"/>
        <w:jc w:val="both"/>
        <w:rPr>
          <w:rFonts w:hint="default"/>
          <w:b/>
          <w:sz w:val="28"/>
          <w:szCs w:val="28"/>
          <w:lang w:val="ru-RU"/>
        </w:rPr>
      </w:pPr>
      <w:r>
        <w:rPr>
          <w:rFonts w:hint="default"/>
          <w:b/>
          <w:sz w:val="28"/>
          <w:szCs w:val="28"/>
          <w:lang w:val="ru-RU"/>
        </w:rPr>
        <w:t xml:space="preserve">         </w:t>
      </w:r>
      <w:r>
        <w:rPr>
          <w:rFonts w:hint="default"/>
          <w:b w:val="0"/>
          <w:bCs/>
          <w:sz w:val="28"/>
          <w:szCs w:val="28"/>
          <w:lang w:val="ru-RU"/>
        </w:rPr>
        <w:t xml:space="preserve"> 1. Р</w:t>
      </w:r>
      <w:r>
        <w:rPr>
          <w:color w:val="000000"/>
          <w:sz w:val="28"/>
          <w:szCs w:val="28"/>
        </w:rPr>
        <w:t>егистрационного удостоверения предлагаемого к закупке лекарственного препарата,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w:t>
      </w:r>
      <w:r>
        <w:rPr>
          <w:rFonts w:hint="default"/>
          <w:color w:val="000000"/>
          <w:sz w:val="28"/>
          <w:szCs w:val="28"/>
          <w:lang w:val="ru-RU"/>
        </w:rPr>
        <w:t>;</w:t>
      </w:r>
    </w:p>
    <w:p>
      <w:pPr>
        <w:pStyle w:val="15"/>
        <w:numPr>
          <w:ilvl w:val="0"/>
          <w:numId w:val="0"/>
        </w:numPr>
        <w:ind w:firstLine="700" w:firstLineChars="250"/>
        <w:jc w:val="both"/>
        <w:rPr>
          <w:sz w:val="28"/>
          <w:szCs w:val="28"/>
        </w:rPr>
      </w:pPr>
      <w:r>
        <w:rPr>
          <w:rFonts w:hint="default"/>
          <w:sz w:val="28"/>
          <w:szCs w:val="28"/>
          <w:lang w:val="ru-RU"/>
        </w:rPr>
        <w:t>2.</w:t>
      </w:r>
      <w:r>
        <w:rPr>
          <w:sz w:val="28"/>
          <w:szCs w:val="28"/>
        </w:rPr>
        <w:t xml:space="preserve"> Развернутое описание характеристик предлагаемого к закупке лекарственного средства – инструкцию по медицинскому применению;</w:t>
      </w:r>
    </w:p>
    <w:p>
      <w:pPr>
        <w:pStyle w:val="15"/>
        <w:ind w:firstLine="709"/>
        <w:jc w:val="both"/>
        <w:rPr>
          <w:sz w:val="28"/>
          <w:szCs w:val="28"/>
        </w:rPr>
      </w:pPr>
      <w:r>
        <w:rPr>
          <w:rFonts w:hint="default"/>
          <w:sz w:val="28"/>
          <w:szCs w:val="28"/>
          <w:lang w:val="ru-RU"/>
        </w:rPr>
        <w:t>3</w:t>
      </w:r>
      <w:r>
        <w:rPr>
          <w:sz w:val="28"/>
          <w:szCs w:val="28"/>
        </w:rPr>
        <w:t>. Заполненную спецификацию на поставляемый товар по Форме в соответствии с Приложением №4;</w:t>
      </w:r>
    </w:p>
    <w:p>
      <w:pPr>
        <w:pStyle w:val="15"/>
        <w:ind w:firstLine="709"/>
        <w:jc w:val="both"/>
        <w:rPr>
          <w:color w:val="000000" w:themeColor="text1"/>
          <w:sz w:val="28"/>
          <w:szCs w:val="28"/>
          <w14:textFill>
            <w14:solidFill>
              <w14:schemeClr w14:val="tx1"/>
            </w14:solidFill>
          </w14:textFill>
        </w:rPr>
      </w:pPr>
      <w:r>
        <w:rPr>
          <w:rFonts w:hint="default"/>
          <w:sz w:val="28"/>
          <w:szCs w:val="28"/>
          <w:lang w:val="ru-RU"/>
        </w:rPr>
        <w:t>4</w:t>
      </w:r>
      <w:r>
        <w:rPr>
          <w:sz w:val="28"/>
          <w:szCs w:val="28"/>
        </w:rPr>
        <w:t>.</w:t>
      </w:r>
      <w:r>
        <w:rPr>
          <w:color w:val="000000" w:themeColor="text1"/>
          <w:sz w:val="28"/>
          <w:szCs w:val="28"/>
          <w14:textFill>
            <w14:solidFill>
              <w14:schemeClr w14:val="tx1"/>
            </w14:solidFill>
          </w14:textFill>
        </w:rPr>
        <w:t xml:space="preserve"> Документы, подтверждающие право на применение префенциальной поправки, в случае </w:t>
      </w:r>
      <w:r>
        <w:rPr>
          <w:color w:val="000000" w:themeColor="text1"/>
          <w:sz w:val="28"/>
          <w:szCs w:val="28"/>
          <w:lang w:val="ru-RU"/>
          <w14:textFill>
            <w14:solidFill>
              <w14:schemeClr w14:val="tx1"/>
            </w14:solidFill>
          </w14:textFill>
        </w:rPr>
        <w:t>применения</w:t>
      </w:r>
      <w:r>
        <w:rPr>
          <w:rFonts w:hint="default"/>
          <w:color w:val="000000" w:themeColor="text1"/>
          <w:sz w:val="28"/>
          <w:szCs w:val="28"/>
          <w:lang w:val="ru-RU"/>
          <w14:textFill>
            <w14:solidFill>
              <w14:schemeClr w14:val="tx1"/>
            </w14:solidFill>
          </w14:textFill>
        </w:rPr>
        <w:t xml:space="preserve"> пр</w:t>
      </w:r>
      <w:r>
        <w:rPr>
          <w:color w:val="000000" w:themeColor="text1"/>
          <w:sz w:val="28"/>
          <w:szCs w:val="28"/>
          <w14:textFill>
            <w14:solidFill>
              <w14:schemeClr w14:val="tx1"/>
            </w14:solidFill>
          </w14:textFill>
        </w:rPr>
        <w:t>е</w:t>
      </w:r>
      <w:r>
        <w:rPr>
          <w:color w:val="000000" w:themeColor="text1"/>
          <w:sz w:val="28"/>
          <w:szCs w:val="28"/>
          <w:lang w:val="ru-RU"/>
          <w14:textFill>
            <w14:solidFill>
              <w14:schemeClr w14:val="tx1"/>
            </w14:solidFill>
          </w14:textFill>
        </w:rPr>
        <w:t>ференциальной</w:t>
      </w:r>
      <w:r>
        <w:rPr>
          <w:rFonts w:hint="default"/>
          <w:color w:val="000000" w:themeColor="text1"/>
          <w:sz w:val="28"/>
          <w:szCs w:val="28"/>
          <w:lang w:val="ru-RU"/>
          <w14:textFill>
            <w14:solidFill>
              <w14:schemeClr w14:val="tx1"/>
            </w14:solidFill>
          </w14:textFill>
        </w:rPr>
        <w:t xml:space="preserve"> поправки. Заявление о применении префенциальной поправки предоставляется участником только в порядке, установленном регламентом оператора электронной торговой площадки</w:t>
      </w:r>
      <w:r>
        <w:rPr>
          <w:color w:val="000000" w:themeColor="text1"/>
          <w:sz w:val="28"/>
          <w:szCs w:val="28"/>
          <w14:textFill>
            <w14:solidFill>
              <w14:schemeClr w14:val="tx1"/>
            </w14:solidFill>
          </w14:textFill>
        </w:rPr>
        <w:t>;</w:t>
      </w:r>
    </w:p>
    <w:p>
      <w:pPr>
        <w:pStyle w:val="15"/>
        <w:ind w:firstLine="700" w:firstLineChars="250"/>
        <w:jc w:val="both"/>
        <w:rPr>
          <w:rStyle w:val="31"/>
          <w:color w:val="000000" w:themeColor="text1"/>
          <w:sz w:val="28"/>
          <w:szCs w:val="28"/>
          <w14:textFill>
            <w14:solidFill>
              <w14:schemeClr w14:val="tx1"/>
            </w14:solidFill>
          </w14:textFill>
        </w:rPr>
      </w:pPr>
      <w:r>
        <w:rPr>
          <w:rFonts w:hint="default"/>
          <w:sz w:val="28"/>
          <w:szCs w:val="28"/>
          <w:lang w:val="ru-RU"/>
        </w:rPr>
        <w:t>5</w:t>
      </w:r>
      <w:r>
        <w:rPr>
          <w:sz w:val="28"/>
          <w:szCs w:val="28"/>
        </w:rPr>
        <w:t xml:space="preserve">. Если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и у участника имеются подтверждающие документы на предлагаемый товар, то участник в первом разделе предложения должен сделать заявление о предложении такого товара </w:t>
      </w:r>
      <w:r>
        <w:rPr>
          <w:color w:val="auto"/>
          <w:sz w:val="28"/>
          <w:szCs w:val="28"/>
        </w:rPr>
        <w:t xml:space="preserve">(согласно приложению № </w:t>
      </w:r>
      <w:r>
        <w:rPr>
          <w:rFonts w:hint="default"/>
          <w:color w:val="auto"/>
          <w:sz w:val="28"/>
          <w:szCs w:val="28"/>
          <w:lang w:val="ru-RU"/>
        </w:rPr>
        <w:t>3</w:t>
      </w:r>
      <w:r>
        <w:rPr>
          <w:color w:val="auto"/>
          <w:sz w:val="28"/>
          <w:szCs w:val="28"/>
        </w:rPr>
        <w:t>)</w:t>
      </w:r>
      <w:r>
        <w:rPr>
          <w:color w:val="auto"/>
          <w:szCs w:val="24"/>
        </w:rPr>
        <w:t xml:space="preserve">  </w:t>
      </w:r>
      <w:r>
        <w:rPr>
          <w:sz w:val="28"/>
          <w:szCs w:val="28"/>
        </w:rPr>
        <w:t xml:space="preserve"> и предоставить документы, подтверждающие страну происхождения товара, согласно постановлению Совета Министров Республики Беларусь от 17.03.2016 г. №206 «О допуске товаров иностранного происхождения и поставщиков, предлагающих такие товары, к участию в процедурах государственных закупок» и разделу </w:t>
      </w:r>
      <w:r>
        <w:rPr>
          <w:sz w:val="28"/>
          <w:szCs w:val="28"/>
          <w:lang w:val="en-US"/>
        </w:rPr>
        <w:t>X</w:t>
      </w:r>
      <w:r>
        <w:rPr>
          <w:sz w:val="28"/>
          <w:szCs w:val="28"/>
        </w:rPr>
        <w:t xml:space="preserve"> настоящих аукционных документов.</w:t>
      </w:r>
    </w:p>
    <w:p>
      <w:pPr>
        <w:pStyle w:val="15"/>
        <w:ind w:firstLine="800" w:firstLineChars="286"/>
        <w:jc w:val="both"/>
        <w:rPr>
          <w:rStyle w:val="31"/>
          <w:color w:val="000000" w:themeColor="text1"/>
          <w:sz w:val="28"/>
          <w:szCs w:val="28"/>
          <w:shd w:val="clear" w:color="auto" w:fill="FFFFFF"/>
          <w14:textFill>
            <w14:solidFill>
              <w14:schemeClr w14:val="tx1"/>
            </w14:solidFill>
          </w14:textFill>
        </w:rPr>
      </w:pPr>
      <w:r>
        <w:rPr>
          <w:rStyle w:val="31"/>
          <w:rFonts w:hint="default"/>
          <w:color w:val="000000" w:themeColor="text1"/>
          <w:sz w:val="28"/>
          <w:szCs w:val="28"/>
          <w:shd w:val="clear" w:color="auto" w:fill="FFFFFF"/>
          <w:lang w:val="ru-RU"/>
          <w14:textFill>
            <w14:solidFill>
              <w14:schemeClr w14:val="tx1"/>
            </w14:solidFill>
          </w14:textFill>
        </w:rPr>
        <w:t>6. П</w:t>
      </w:r>
      <w:r>
        <w:rPr>
          <w:rStyle w:val="31"/>
          <w:color w:val="000000" w:themeColor="text1"/>
          <w:sz w:val="28"/>
          <w:szCs w:val="28"/>
          <w:shd w:val="clear" w:color="auto" w:fill="FFFFFF"/>
          <w14:textFill>
            <w14:solidFill>
              <w14:schemeClr w14:val="tx1"/>
            </w14:solidFill>
          </w14:textFill>
        </w:rPr>
        <w:t xml:space="preserve">ри совместном участии в процедуре государственной закупки </w:t>
      </w:r>
      <w:r>
        <w:rPr>
          <w:color w:val="000000" w:themeColor="text1"/>
          <w:sz w:val="28"/>
          <w:szCs w:val="28"/>
          <w14:textFill>
            <w14:solidFill>
              <w14:schemeClr w14:val="tx1"/>
            </w14:solidFill>
          </w14:textFill>
        </w:rPr>
        <w:t xml:space="preserve">в случаях, установленных законодательными актами Республики Беларусь, предоставить </w:t>
      </w:r>
      <w:r>
        <w:rPr>
          <w:rStyle w:val="31"/>
          <w:color w:val="000000" w:themeColor="text1"/>
          <w:sz w:val="28"/>
          <w:szCs w:val="28"/>
          <w:shd w:val="clear" w:color="auto" w:fill="FFFFFF"/>
          <w14:textFill>
            <w14:solidFill>
              <w14:schemeClr w14:val="tx1"/>
            </w14:solidFill>
          </w14:textFill>
        </w:rPr>
        <w:t>соглашение о совместном участии в процедуре государственной закупки, определяющее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w:t>
      </w:r>
    </w:p>
    <w:p>
      <w:pPr>
        <w:pStyle w:val="15"/>
        <w:ind w:firstLine="567"/>
        <w:jc w:val="both"/>
        <w:rPr>
          <w:b/>
          <w:color w:val="000000"/>
          <w:sz w:val="28"/>
          <w:szCs w:val="28"/>
        </w:rPr>
      </w:pPr>
      <w:r>
        <w:rPr>
          <w:b w:val="0"/>
          <w:bCs/>
          <w:color w:val="000000"/>
          <w:sz w:val="28"/>
          <w:szCs w:val="28"/>
        </w:rPr>
        <w:t>В случае, если лекарственное средство не зарегистрировано в Республике Беларусь, в первом разделе своего предложения участники дополнительно должны представить:</w:t>
      </w:r>
    </w:p>
    <w:p>
      <w:pPr>
        <w:widowControl w:val="0"/>
        <w:autoSpaceDE w:val="0"/>
        <w:autoSpaceDN w:val="0"/>
        <w:ind w:firstLine="709"/>
        <w:jc w:val="both"/>
        <w:rPr>
          <w:sz w:val="28"/>
          <w:szCs w:val="28"/>
        </w:rPr>
      </w:pPr>
      <w:r>
        <w:rPr>
          <w:sz w:val="28"/>
          <w:szCs w:val="28"/>
        </w:rPr>
        <w:t>1. Копия одного из нижеперечисленных документов с переводом на русский (белорусский) язык:</w:t>
      </w:r>
    </w:p>
    <w:p>
      <w:pPr>
        <w:widowControl w:val="0"/>
        <w:autoSpaceDE w:val="0"/>
        <w:autoSpaceDN w:val="0"/>
        <w:ind w:firstLine="709"/>
        <w:jc w:val="both"/>
        <w:rPr>
          <w:sz w:val="28"/>
          <w:szCs w:val="28"/>
        </w:rPr>
      </w:pPr>
      <w:r>
        <w:rPr>
          <w:sz w:val="28"/>
          <w:szCs w:val="28"/>
        </w:rPr>
        <w:t>1.1. графическое изображение экрана (скриншот) интернет - страницы, распечатка с электронной базы, подтверждающие регистрацию, либо копия документа о регистрации лекарственного препарата - сертификат фармацевтического продукта (далее - СРР), или регистрационное удостоверение, или free sale сертификат (сертификат на свободную продажу) - в одном из следующих государств (Австралийский Союз, Соединенные Штаты Америки, Канада, Швейцарская Конфедерация, Япония, Австрийская Республика, Соединенное Королевство Великобритании и Северной Ирландии, Федеративная Республика Германия, Королевство Дания, Королевство Нидерландов, Королевство Швеция, Испания, Португальская Республика), а также SmPC (summary of product characteristics - общая характеристика лекарственного препарата) либо развернутое описание характеристик предлагаемого к закупке лекарственного препарата - инструкцию по медицинскому применению, выданные для страны, регистрация в которой подтверждена;</w:t>
      </w:r>
    </w:p>
    <w:p>
      <w:pPr>
        <w:widowControl w:val="0"/>
        <w:autoSpaceDE w:val="0"/>
        <w:autoSpaceDN w:val="0"/>
        <w:ind w:firstLine="709"/>
        <w:jc w:val="both"/>
        <w:rPr>
          <w:sz w:val="28"/>
          <w:szCs w:val="28"/>
        </w:rPr>
      </w:pPr>
      <w:r>
        <w:rPr>
          <w:sz w:val="28"/>
          <w:szCs w:val="28"/>
        </w:rPr>
        <w:t>1.2. графическое изображение экрана (скриншот) интернет -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 выданного Европейским агентством лекарственных препаратов (ЕАЛП, англ. European Medicines Agency (EMA)) по результатам централизованной процедуры регистрации - Certificate of a Medicinal Product, а также SmPC (summary of product characteristics - общая характеристика лекарственного препарата), выданное ЕАЛП, либо развернутое описание характеристик предлагаемого к закупке лекарственного препарата - инструкцию по медицинскому применению;</w:t>
      </w:r>
    </w:p>
    <w:p>
      <w:pPr>
        <w:widowControl w:val="0"/>
        <w:autoSpaceDE w:val="0"/>
        <w:autoSpaceDN w:val="0"/>
        <w:ind w:firstLine="709"/>
        <w:jc w:val="both"/>
        <w:rPr>
          <w:sz w:val="28"/>
          <w:szCs w:val="28"/>
        </w:rPr>
      </w:pPr>
      <w:r>
        <w:rPr>
          <w:sz w:val="28"/>
          <w:szCs w:val="28"/>
        </w:rPr>
        <w:t xml:space="preserve">1.3. графическое изображение экрана (скриншот) интернет-страницы Всемирной Организации Здравоохранения (далее - ВОЗ) (адрес в сети интернет https://extranet.who.int/prequal/content/prequalified-lists/medicines), подтверждающее, что предлагаемый лекарственный препарат преквалифицирован ВОЗ, а также SmPC (summary of product </w:t>
      </w:r>
      <w:r>
        <w:rPr>
          <w:sz w:val="28"/>
          <w:szCs w:val="28"/>
        </w:rPr>
        <w:br w:type="textWrapping"/>
      </w:r>
      <w:r>
        <w:rPr>
          <w:sz w:val="28"/>
          <w:szCs w:val="28"/>
        </w:rPr>
        <w:t>characteristics - общая характеристика лекарственного препарата),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 инструкцию по медицинскому применению;</w:t>
      </w:r>
    </w:p>
    <w:p>
      <w:pPr>
        <w:widowControl w:val="0"/>
        <w:autoSpaceDE w:val="0"/>
        <w:autoSpaceDN w:val="0"/>
        <w:ind w:firstLine="709"/>
        <w:jc w:val="both"/>
        <w:rPr>
          <w:sz w:val="28"/>
          <w:szCs w:val="28"/>
        </w:rPr>
      </w:pPr>
      <w:r>
        <w:rPr>
          <w:sz w:val="28"/>
          <w:szCs w:val="28"/>
        </w:rPr>
        <w:t>1.4. документ о регистрации лекарственного препарата в Российской Федерации для лекарственных препаратов, произведенных в Российской Федерации, а также инструкцию на этот лекарственный препарат, выданную регуляторным органом страны производства;</w:t>
      </w:r>
    </w:p>
    <w:p>
      <w:pPr>
        <w:widowControl w:val="0"/>
        <w:autoSpaceDE w:val="0"/>
        <w:autoSpaceDN w:val="0"/>
        <w:ind w:firstLine="709"/>
        <w:jc w:val="both"/>
        <w:rPr>
          <w:sz w:val="28"/>
          <w:szCs w:val="28"/>
        </w:rPr>
      </w:pPr>
      <w:r>
        <w:rPr>
          <w:sz w:val="28"/>
          <w:szCs w:val="28"/>
        </w:rPr>
        <w:t>1.5. документ, подтверждающий регистрацию и использование лекарственного препарата в стране-производителе (регистрационное удостоверение или сертификат на свободную продажу, либо сертификат фармацевтического продукта, либо графическое изображение экрана (скриншот) интернет-страницы с официального сайта уполномоченного органа в сфере регистрации лекарственных препаратов, подтверждающее регистрацию в стране производства) с одновременным предоставлением документа, удостоверяющего производство лекарственного препарата в условиях GMP ЕАЭС, а также инструкцию на этот лекарственный препарат, выданную регуляторным органом страны производства;</w:t>
      </w:r>
    </w:p>
    <w:p>
      <w:pPr>
        <w:widowControl w:val="0"/>
        <w:autoSpaceDE w:val="0"/>
        <w:autoSpaceDN w:val="0"/>
        <w:ind w:firstLine="700" w:firstLineChars="250"/>
        <w:jc w:val="both"/>
        <w:rPr>
          <w:sz w:val="28"/>
          <w:szCs w:val="28"/>
        </w:rPr>
      </w:pPr>
      <w:r>
        <w:rPr>
          <w:sz w:val="28"/>
          <w:szCs w:val="28"/>
        </w:rPr>
        <w:t>1.6. документ (письмо производителя и копия регистрационного удостоверения, действующего ранее на территории Республики Беларусь), подтверждающий, что:</w:t>
      </w:r>
    </w:p>
    <w:p>
      <w:pPr>
        <w:widowControl w:val="0"/>
        <w:autoSpaceDE w:val="0"/>
        <w:autoSpaceDN w:val="0"/>
        <w:ind w:firstLine="709"/>
        <w:jc w:val="both"/>
        <w:rPr>
          <w:sz w:val="28"/>
          <w:szCs w:val="28"/>
        </w:rPr>
      </w:pPr>
      <w:r>
        <w:rPr>
          <w:sz w:val="28"/>
          <w:szCs w:val="28"/>
        </w:rPr>
        <w:t>предполагаемый к поставке лекарственный препарат был зарегистрирован на территории Республики Беларусь;</w:t>
      </w:r>
    </w:p>
    <w:p>
      <w:pPr>
        <w:widowControl w:val="0"/>
        <w:autoSpaceDE w:val="0"/>
        <w:autoSpaceDN w:val="0"/>
        <w:ind w:firstLine="709"/>
        <w:jc w:val="both"/>
        <w:rPr>
          <w:sz w:val="28"/>
          <w:szCs w:val="28"/>
        </w:rPr>
      </w:pPr>
      <w:r>
        <w:rPr>
          <w:sz w:val="28"/>
          <w:szCs w:val="28"/>
        </w:rPr>
        <w:t>срок действия регистрационного удостоверения на него истек не ранее, чем за 4 (четыре) года до истечения срока для подготовки и подачи предложений;</w:t>
      </w:r>
    </w:p>
    <w:p>
      <w:pPr>
        <w:widowControl w:val="0"/>
        <w:autoSpaceDE w:val="0"/>
        <w:autoSpaceDN w:val="0"/>
        <w:ind w:firstLine="709"/>
        <w:jc w:val="both"/>
        <w:rPr>
          <w:sz w:val="28"/>
          <w:szCs w:val="28"/>
        </w:rPr>
      </w:pPr>
      <w:r>
        <w:rPr>
          <w:sz w:val="28"/>
          <w:szCs w:val="28"/>
        </w:rPr>
        <w:t>состав и процесс производства соответствуют составу и процессу производства, которые были указаны в последней версии регистрационного досье в Республике Беларусь.</w:t>
      </w:r>
    </w:p>
    <w:p>
      <w:pPr>
        <w:widowControl w:val="0"/>
        <w:autoSpaceDE w:val="0"/>
        <w:autoSpaceDN w:val="0"/>
        <w:ind w:firstLine="709"/>
        <w:jc w:val="both"/>
        <w:rPr>
          <w:sz w:val="28"/>
          <w:szCs w:val="28"/>
        </w:rPr>
      </w:pPr>
      <w:r>
        <w:rPr>
          <w:sz w:val="28"/>
          <w:szCs w:val="28"/>
        </w:rPr>
        <w:t>Также должна быть представлена SmPC (summary of product characteristics – общая характеристика лекарственного препарата), либо развернутое описание характеристик предлагаемого к закупке лекарственного препарата - инструкция по медицинскому применению, выданные для страны-производителя.</w:t>
      </w:r>
    </w:p>
    <w:p>
      <w:pPr>
        <w:widowControl w:val="0"/>
        <w:autoSpaceDE w:val="0"/>
        <w:autoSpaceDN w:val="0"/>
        <w:ind w:firstLine="709"/>
        <w:jc w:val="both"/>
        <w:rPr>
          <w:sz w:val="28"/>
          <w:szCs w:val="28"/>
        </w:rPr>
      </w:pPr>
      <w:r>
        <w:rPr>
          <w:sz w:val="28"/>
          <w:szCs w:val="28"/>
        </w:rPr>
        <w:t>Требования настоящего подпункта не распространяются на лекарственные препараты:</w:t>
      </w:r>
    </w:p>
    <w:p>
      <w:pPr>
        <w:widowControl w:val="0"/>
        <w:autoSpaceDE w:val="0"/>
        <w:autoSpaceDN w:val="0"/>
        <w:ind w:firstLine="709"/>
        <w:jc w:val="both"/>
        <w:rPr>
          <w:sz w:val="28"/>
          <w:szCs w:val="28"/>
        </w:rPr>
      </w:pPr>
      <w:r>
        <w:rPr>
          <w:sz w:val="28"/>
          <w:szCs w:val="28"/>
        </w:rPr>
        <w:t>регистрационные удостоверения на которые были приостановлены в связи с неблагоприятным профилем безопасности лекарственного препарата;</w:t>
      </w:r>
    </w:p>
    <w:p>
      <w:pPr>
        <w:widowControl w:val="0"/>
        <w:autoSpaceDE w:val="0"/>
        <w:autoSpaceDN w:val="0"/>
        <w:ind w:firstLine="709"/>
        <w:jc w:val="both"/>
        <w:rPr>
          <w:sz w:val="28"/>
          <w:szCs w:val="28"/>
        </w:rPr>
      </w:pPr>
      <w:r>
        <w:rPr>
          <w:sz w:val="28"/>
          <w:szCs w:val="28"/>
        </w:rPr>
        <w:t>регистрационные удостоверения на которые были приостановлены по инициативе Министерства здравоохранения Республики Беларусь;</w:t>
      </w:r>
    </w:p>
    <w:p>
      <w:pPr>
        <w:widowControl w:val="0"/>
        <w:autoSpaceDE w:val="0"/>
        <w:autoSpaceDN w:val="0"/>
        <w:ind w:firstLine="709"/>
        <w:jc w:val="both"/>
        <w:rPr>
          <w:sz w:val="28"/>
          <w:szCs w:val="28"/>
        </w:rPr>
      </w:pPr>
      <w:r>
        <w:rPr>
          <w:sz w:val="28"/>
          <w:szCs w:val="28"/>
        </w:rPr>
        <w:t>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w:t>
      </w:r>
    </w:p>
    <w:p>
      <w:pPr>
        <w:widowControl w:val="0"/>
        <w:autoSpaceDE w:val="0"/>
        <w:autoSpaceDN w:val="0"/>
        <w:ind w:firstLine="709"/>
        <w:jc w:val="both"/>
        <w:rPr>
          <w:sz w:val="28"/>
          <w:szCs w:val="28"/>
        </w:rPr>
      </w:pPr>
      <w:r>
        <w:rPr>
          <w:sz w:val="28"/>
          <w:szCs w:val="28"/>
        </w:rPr>
        <w:t xml:space="preserve">в государственной регистрации (перерегистрации, подтверждении регистрации) которых было отказано. </w:t>
      </w:r>
    </w:p>
    <w:p>
      <w:pPr>
        <w:widowControl w:val="0"/>
        <w:autoSpaceDE w:val="0"/>
        <w:autoSpaceDN w:val="0"/>
        <w:ind w:firstLine="709"/>
        <w:jc w:val="both"/>
        <w:rPr>
          <w:sz w:val="28"/>
          <w:szCs w:val="28"/>
        </w:rPr>
      </w:pPr>
      <w:r>
        <w:rPr>
          <w:sz w:val="28"/>
          <w:szCs w:val="28"/>
        </w:rPr>
        <w:t xml:space="preserve">2. Копия документа с переводом на русский (белорусский) язык, удостоверяющего производство лекарственного препарата в условиях Надлежащей производственной практики (GMP), если в представленном регистрационном удостоверении, либо сертификате на свободную продажу, либо сертификате фармацевтического продукта отсутствуют сведения о периодической проверке производства лекарственного препарата (лекарственной формы) уполномоченным органом страны производителя на соответствие требованиям Надлежащей производственной практики. </w:t>
      </w:r>
    </w:p>
    <w:p>
      <w:pPr>
        <w:widowControl w:val="0"/>
        <w:autoSpaceDE w:val="0"/>
        <w:autoSpaceDN w:val="0"/>
        <w:ind w:firstLine="709"/>
        <w:jc w:val="both"/>
        <w:rPr>
          <w:sz w:val="28"/>
          <w:szCs w:val="28"/>
        </w:rPr>
      </w:pPr>
      <w:r>
        <w:rPr>
          <w:sz w:val="28"/>
          <w:szCs w:val="28"/>
        </w:rPr>
        <w:t xml:space="preserve">В качестве такого документа может быть представлен: сертификат </w:t>
      </w:r>
      <w:r>
        <w:rPr>
          <w:sz w:val="28"/>
          <w:szCs w:val="28"/>
          <w:lang w:val="en-US"/>
        </w:rPr>
        <w:t>GMP</w:t>
      </w:r>
      <w:r>
        <w:rPr>
          <w:sz w:val="28"/>
          <w:szCs w:val="28"/>
        </w:rPr>
        <w:t>, либо графическое изображение экрана (скриншот) с электронной базы EudraGMDP сертификатов GMP, либо распечатка с электронной базы уполномоченного органа страны производства лекарственного препарата. Представленные документы должны содержать полную информацию о производителе лекарственного препарата, в том числе осуществляющем производство готовой лекарственной формы, фасовку и (или) упаковку, контроль качества, и иных участниках производства и контроля качества лекарственного препарата.</w:t>
      </w:r>
    </w:p>
    <w:p>
      <w:pPr>
        <w:ind w:firstLine="709"/>
        <w:jc w:val="both"/>
        <w:rPr>
          <w:color w:val="000000"/>
          <w:sz w:val="28"/>
          <w:szCs w:val="28"/>
        </w:rPr>
      </w:pPr>
      <w:r>
        <w:rPr>
          <w:sz w:val="28"/>
          <w:szCs w:val="28"/>
        </w:rPr>
        <w:t xml:space="preserve">Допускается представление вместо вышеуказанных документов копии лицензии Министерства промышленности и торговли Российской Федерации либо </w:t>
      </w:r>
      <w:r>
        <w:rPr>
          <w:color w:val="000000"/>
          <w:sz w:val="28"/>
          <w:szCs w:val="28"/>
        </w:rPr>
        <w:t>выписки из реестра лицензий Министерства промышленности и торговли Российской Федерации;</w:t>
      </w:r>
    </w:p>
    <w:p>
      <w:pPr>
        <w:pStyle w:val="21"/>
        <w:widowControl w:val="0"/>
        <w:numPr>
          <w:ilvl w:val="0"/>
          <w:numId w:val="3"/>
        </w:numPr>
        <w:autoSpaceDE w:val="0"/>
        <w:autoSpaceDN w:val="0"/>
        <w:ind w:left="0"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Гарантийные письма участника с переводом на русский (белорусский) язык:</w:t>
      </w:r>
    </w:p>
    <w:p>
      <w:pPr>
        <w:widowControl w:val="0"/>
        <w:autoSpaceDE w:val="0"/>
        <w:autoSpaceDN w:val="0"/>
        <w:ind w:firstLine="709"/>
        <w:jc w:val="both"/>
        <w:rPr>
          <w:sz w:val="28"/>
          <w:szCs w:val="28"/>
        </w:rPr>
      </w:pPr>
      <w:r>
        <w:rPr>
          <w:sz w:val="28"/>
          <w:szCs w:val="28"/>
        </w:rPr>
        <w:t>о соблюдении условий хранения и транспортировки лекарственного препарата;</w:t>
      </w:r>
    </w:p>
    <w:p>
      <w:pPr>
        <w:widowControl w:val="0"/>
        <w:autoSpaceDE w:val="0"/>
        <w:autoSpaceDN w:val="0"/>
        <w:ind w:firstLine="709"/>
        <w:jc w:val="both"/>
        <w:rPr>
          <w:sz w:val="28"/>
          <w:szCs w:val="28"/>
        </w:rPr>
      </w:pPr>
      <w:r>
        <w:rPr>
          <w:sz w:val="28"/>
          <w:szCs w:val="28"/>
        </w:rPr>
        <w:t>о предоставлении при поставке лекарственного препарата информации от производителя о том, что поставляемая серия уже применяется на рынке, для которого произведена, и не имеет претензий по качеству либо что в Республику Беларусь осуществляется поставка новой серии лекарственного препарата, основная часть которой запланирована к поставке на рынок, для которого произведена. При этом производитель в случае, если в процессе обращения данная серия лекарственного препарата будет признана некачественной, обязуется проинформировать об этом Министерство здравоохранения Республики Беларусь;</w:t>
      </w:r>
    </w:p>
    <w:p>
      <w:pPr>
        <w:widowControl w:val="0"/>
        <w:autoSpaceDE w:val="0"/>
        <w:autoSpaceDN w:val="0"/>
        <w:ind w:firstLine="709"/>
        <w:jc w:val="both"/>
        <w:rPr>
          <w:sz w:val="28"/>
          <w:szCs w:val="28"/>
        </w:rPr>
      </w:pPr>
      <w:r>
        <w:rPr>
          <w:sz w:val="28"/>
          <w:szCs w:val="28"/>
        </w:rPr>
        <w:t>о предоставлении к каждой упаковке перевода инструкции на русский язык и (или) белорусский язык и требуемое количество стикеров (в случае необходимости) при поставке незарегистрированного лекарственного препарата;</w:t>
      </w:r>
    </w:p>
    <w:p>
      <w:pPr>
        <w:widowControl w:val="0"/>
        <w:autoSpaceDE w:val="0"/>
        <w:autoSpaceDN w:val="0"/>
        <w:ind w:firstLine="709"/>
        <w:jc w:val="both"/>
        <w:rPr>
          <w:sz w:val="28"/>
          <w:szCs w:val="28"/>
        </w:rPr>
      </w:pPr>
      <w:r>
        <w:rPr>
          <w:sz w:val="28"/>
          <w:szCs w:val="28"/>
        </w:rPr>
        <w:t>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w:t>
      </w:r>
    </w:p>
    <w:p>
      <w:pPr>
        <w:pStyle w:val="15"/>
        <w:ind w:firstLine="840" w:firstLineChars="300"/>
        <w:jc w:val="both"/>
      </w:pPr>
      <w:r>
        <w:rPr>
          <w:i/>
          <w:iCs/>
          <w:sz w:val="28"/>
          <w:szCs w:val="28"/>
        </w:rPr>
        <w:t>Указанные ниже сведения предоставляются участником посредством заполнения соответствующих форм на сайте электронной торговой площадки (ЭТП).</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6520"/>
        <w:gridCol w:w="63"/>
        <w:gridCol w:w="2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69" w:type="dxa"/>
            <w:gridSpan w:val="3"/>
            <w:vAlign w:val="center"/>
          </w:tcPr>
          <w:p>
            <w:pPr>
              <w:pStyle w:val="15"/>
              <w:jc w:val="center"/>
            </w:pPr>
            <w:r>
              <w:rPr>
                <w:b/>
              </w:rPr>
              <w:t>Сведения об электронном аукционе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Регистрационный номер процедуры государственной закупки, присвоенный электронной торговой площадкой</w:t>
            </w:r>
          </w:p>
        </w:tc>
        <w:tc>
          <w:tcPr>
            <w:tcW w:w="2549" w:type="dxa"/>
            <w:gridSpan w:val="2"/>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69" w:type="dxa"/>
            <w:gridSpan w:val="3"/>
            <w:vAlign w:val="center"/>
          </w:tcPr>
          <w:p>
            <w:pPr>
              <w:pStyle w:val="15"/>
              <w:jc w:val="center"/>
            </w:pPr>
            <w:r>
              <w:rPr>
                <w:b/>
              </w:rPr>
              <w:t>Сведения о предложении (частях (лотах) предложения)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69" w:type="dxa"/>
            <w:gridSpan w:val="3"/>
            <w:vAlign w:val="center"/>
          </w:tcPr>
          <w:p>
            <w:pPr>
              <w:pStyle w:val="15"/>
              <w:jc w:val="center"/>
              <w:rPr>
                <w:lang w:val="en-US"/>
              </w:rPr>
            </w:pPr>
            <w:r>
              <w:t xml:space="preserve">Часть (лот) № ______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Наименование предлагаемых товаров (работ, услуг)</w:t>
            </w:r>
          </w:p>
        </w:tc>
        <w:tc>
          <w:tcPr>
            <w:tcW w:w="2549" w:type="dxa"/>
            <w:gridSpan w:val="2"/>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Описание предлагаемых товаров (работ, услуг)</w:t>
            </w:r>
          </w:p>
        </w:tc>
        <w:tc>
          <w:tcPr>
            <w:tcW w:w="2549" w:type="dxa"/>
            <w:gridSpan w:val="2"/>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Страна происхождения товаров (работ, услуг)</w:t>
            </w:r>
          </w:p>
        </w:tc>
        <w:tc>
          <w:tcPr>
            <w:tcW w:w="2549" w:type="dxa"/>
            <w:gridSpan w:val="2"/>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Объем (кол-во), ед. изм.</w:t>
            </w:r>
          </w:p>
        </w:tc>
        <w:tc>
          <w:tcPr>
            <w:tcW w:w="2549" w:type="dxa"/>
            <w:gridSpan w:val="2"/>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69" w:type="dxa"/>
            <w:gridSpan w:val="3"/>
            <w:vAlign w:val="center"/>
          </w:tcPr>
          <w:p>
            <w:pPr>
              <w:pStyle w:val="15"/>
              <w:jc w:val="center"/>
            </w:pPr>
            <w:r>
              <w:rPr>
                <w:b/>
              </w:rPr>
              <w:t>Документы первого раздела предложения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83" w:type="dxa"/>
            <w:gridSpan w:val="2"/>
          </w:tcPr>
          <w:p>
            <w:pPr>
              <w:jc w:val="both"/>
              <w:rPr>
                <w:color w:val="000000" w:themeColor="text1"/>
                <w14:textFill>
                  <w14:solidFill>
                    <w14:schemeClr w14:val="tx1"/>
                  </w14:solidFill>
                </w14:textFill>
              </w:rPr>
            </w:pPr>
            <w: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br w:type="textWrapping"/>
            </w:r>
            <w:r>
              <w:rPr>
                <w:color w:val="000000" w:themeColor="text1"/>
                <w14:textFill>
                  <w14:solidFill>
                    <w14:schemeClr w14:val="tx1"/>
                  </w14:solidFill>
                </w14:textFill>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документы, подтверждающие право на применение префенциальной поправки.</w:t>
            </w:r>
            <w:r>
              <w:rPr>
                <w:color w:val="000000"/>
              </w:rPr>
              <w:t xml:space="preserve"> </w:t>
            </w:r>
            <w:r>
              <w:rPr>
                <w:color w:val="000000" w:themeColor="text1"/>
                <w14:textFill>
                  <w14:solidFill>
                    <w14:schemeClr w14:val="tx1"/>
                  </w14:solidFill>
                </w14:textFill>
              </w:rPr>
              <w:t>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pPr>
              <w:pStyle w:val="15"/>
              <w:jc w:val="both"/>
            </w:pPr>
            <w: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br w:type="textWrapping"/>
            </w:r>
            <w:r>
              <w:t>Заявление о согласии участника на размещение в открытом доступе предложения.</w:t>
            </w:r>
          </w:p>
        </w:tc>
        <w:tc>
          <w:tcPr>
            <w:tcW w:w="2486" w:type="dxa"/>
          </w:tcPr>
          <w:p>
            <w:pPr>
              <w:pStyle w:val="15"/>
            </w:pPr>
          </w:p>
        </w:tc>
      </w:tr>
    </w:tbl>
    <w:p>
      <w:pPr>
        <w:pStyle w:val="15"/>
        <w:jc w:val="both"/>
      </w:pPr>
    </w:p>
    <w:p>
      <w:pPr>
        <w:pStyle w:val="15"/>
        <w:jc w:val="center"/>
        <w:rPr>
          <w:b/>
        </w:rPr>
      </w:pPr>
      <w:r>
        <w:rPr>
          <w:b/>
        </w:rPr>
        <w:t>РАЗДЕЛ II</w:t>
      </w:r>
    </w:p>
    <w:p>
      <w:pPr>
        <w:pStyle w:val="15"/>
        <w:jc w:val="center"/>
        <w:rPr>
          <w:b/>
        </w:rPr>
      </w:pPr>
    </w:p>
    <w:p>
      <w:pPr>
        <w:pStyle w:val="15"/>
        <w:rPr>
          <w:b/>
          <w:color w:val="000000"/>
          <w:sz w:val="28"/>
          <w:szCs w:val="28"/>
        </w:rPr>
      </w:pPr>
      <w:r>
        <w:rPr>
          <w:b/>
          <w:color w:val="000000"/>
          <w:sz w:val="28"/>
          <w:szCs w:val="28"/>
        </w:rPr>
        <w:t>Во втором разделе необходимо представить:</w:t>
      </w:r>
    </w:p>
    <w:p>
      <w:pPr>
        <w:pStyle w:val="15"/>
        <w:ind w:firstLine="709"/>
        <w:jc w:val="both"/>
        <w:rPr>
          <w:b/>
          <w:sz w:val="28"/>
          <w:szCs w:val="28"/>
        </w:rPr>
      </w:pPr>
      <w:r>
        <w:rPr>
          <w:color w:val="000000"/>
          <w:sz w:val="28"/>
          <w:szCs w:val="28"/>
        </w:rPr>
        <w:t>1. Документы и (или) сведения согласно перечню, указанному выше в разделе «Требования к участникам, документы и (или) сведения для проверки требований к участникам».</w:t>
      </w:r>
    </w:p>
    <w:p>
      <w:pPr>
        <w:pStyle w:val="15"/>
        <w:ind w:firstLine="709"/>
        <w:jc w:val="both"/>
        <w:rPr>
          <w:color w:val="000000"/>
        </w:rPr>
      </w:pPr>
      <w:r>
        <w:rPr>
          <w:i/>
          <w:color w:val="000000"/>
          <w:sz w:val="28"/>
          <w:szCs w:val="28"/>
        </w:rPr>
        <w:t>&lt;*&gt; Указанные ниже сведения предоставляются участником посредством заполнения соответствующих форм на сайте электронной торговой площадки (ЭТП).</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6520"/>
        <w:gridCol w:w="2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69" w:type="dxa"/>
            <w:gridSpan w:val="2"/>
          </w:tcPr>
          <w:p>
            <w:pPr>
              <w:pStyle w:val="15"/>
              <w:jc w:val="center"/>
            </w:pPr>
            <w:r>
              <w:rPr>
                <w:b/>
              </w:rPr>
              <w:t>Сведения об участнике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49" w:type="dxa"/>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Место нахождения (для юридического лица) либо место жительства (для физического лица, в том числе индивидуального предпринимателя)</w:t>
            </w:r>
          </w:p>
        </w:tc>
        <w:tc>
          <w:tcPr>
            <w:tcW w:w="2549" w:type="dxa"/>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Учетный номер плательщика (для юридического лица, индивидуального предпринимателя)</w:t>
            </w:r>
          </w:p>
        </w:tc>
        <w:tc>
          <w:tcPr>
            <w:tcW w:w="2549" w:type="dxa"/>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pPr>
            <w: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49" w:type="dxa"/>
          </w:tcPr>
          <w:p>
            <w:pPr>
              <w:pStyle w:val="1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9069" w:type="dxa"/>
            <w:gridSpan w:val="2"/>
            <w:vAlign w:val="center"/>
          </w:tcPr>
          <w:p>
            <w:pPr>
              <w:pStyle w:val="15"/>
              <w:jc w:val="center"/>
            </w:pPr>
            <w:r>
              <w:rPr>
                <w:b/>
              </w:rPr>
              <w:t>Документы второго раздела предложения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520" w:type="dxa"/>
          </w:tcPr>
          <w:p>
            <w:pPr>
              <w:pStyle w:val="15"/>
              <w:jc w:val="both"/>
              <w:rPr>
                <w:color w:val="auto"/>
              </w:rPr>
            </w:pPr>
            <w:r>
              <w:rPr>
                <w:color w:val="auto"/>
              </w:rPr>
              <w:t xml:space="preserve">Наименование документа(ов): </w:t>
            </w:r>
          </w:p>
          <w:p>
            <w:pPr>
              <w:jc w:val="both"/>
              <w:rPr>
                <w:b/>
                <w:bCs/>
                <w:color w:val="auto"/>
              </w:rPr>
            </w:pPr>
            <w:r>
              <w:rPr>
                <w:color w:val="auto"/>
              </w:rPr>
              <w:t>заявление о соответствии требованиям, установленным абзацами шестым, восьмым-двенадцатым, четырнадцатым пункта 2 статьи 16 Закона</w:t>
            </w:r>
            <w:r>
              <w:rPr>
                <w:rFonts w:hint="default"/>
                <w:color w:val="auto"/>
                <w:lang w:val="ru-RU"/>
              </w:rPr>
              <w:t xml:space="preserve"> и ч</w:t>
            </w:r>
            <w:r>
              <w:rPr>
                <w:color w:val="auto"/>
              </w:rPr>
              <w:t>асти третьей подп</w:t>
            </w:r>
            <w:r>
              <w:rPr>
                <w:color w:val="auto"/>
                <w:lang w:val="ru-RU"/>
              </w:rPr>
              <w:t>ункта</w:t>
            </w:r>
            <w:r>
              <w:rPr>
                <w:rFonts w:hint="default"/>
                <w:color w:val="auto"/>
                <w:lang w:val="ru-RU"/>
              </w:rPr>
              <w:t xml:space="preserve"> </w:t>
            </w:r>
            <w:r>
              <w:rPr>
                <w:color w:val="auto"/>
              </w:rPr>
              <w:t>1.7. п</w:t>
            </w:r>
            <w:r>
              <w:rPr>
                <w:color w:val="auto"/>
                <w:lang w:val="ru-RU"/>
              </w:rPr>
              <w:t>ункта</w:t>
            </w:r>
            <w:r>
              <w:rPr>
                <w:rFonts w:hint="default"/>
                <w:color w:val="auto"/>
                <w:lang w:val="ru-RU"/>
              </w:rPr>
              <w:t xml:space="preserve"> </w:t>
            </w:r>
            <w:r>
              <w:rPr>
                <w:color w:val="auto"/>
              </w:rPr>
              <w:t>1 постановления №395</w:t>
            </w:r>
            <w:r>
              <w:rPr>
                <w:rFonts w:hint="default"/>
                <w:color w:val="auto"/>
                <w:lang w:val="ru-RU"/>
              </w:rPr>
              <w:t xml:space="preserve">, </w:t>
            </w:r>
            <w:r>
              <w:rPr>
                <w:color w:val="auto"/>
              </w:rPr>
              <w:t xml:space="preserve"> подтверждается заявлением участника. Такое заявление подается по форме, установленной  регламентом оператора электронной торговой площадки.</w:t>
            </w:r>
          </w:p>
          <w:p>
            <w:pPr>
              <w:pStyle w:val="15"/>
              <w:jc w:val="both"/>
              <w:rPr>
                <w:color w:val="auto"/>
              </w:rPr>
            </w:pPr>
            <w:r>
              <w:rPr>
                <w:b w:val="0"/>
                <w:bCs w:val="0"/>
                <w:color w:val="auto"/>
              </w:rPr>
              <w:t>для нерезидентов Республики Беларусь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w:t>
            </w:r>
            <w:r>
              <w:rPr>
                <w:color w:val="auto"/>
              </w:rPr>
              <w:t xml:space="preserve"> заявление по форме согласно Приложению </w:t>
            </w:r>
            <w:r>
              <w:rPr>
                <w:rFonts w:hint="default"/>
                <w:color w:val="auto"/>
                <w:lang w:val="ru-RU"/>
              </w:rPr>
              <w:t>5</w:t>
            </w:r>
            <w:r>
              <w:rPr>
                <w:color w:val="auto"/>
              </w:rPr>
              <w:t xml:space="preserve"> с указанием последней отчетной даты</w:t>
            </w:r>
          </w:p>
          <w:p>
            <w:pPr>
              <w:pStyle w:val="15"/>
              <w:jc w:val="both"/>
            </w:pPr>
          </w:p>
        </w:tc>
        <w:tc>
          <w:tcPr>
            <w:tcW w:w="2549" w:type="dxa"/>
          </w:tcPr>
          <w:p>
            <w:pPr>
              <w:pStyle w:val="15"/>
            </w:pPr>
          </w:p>
        </w:tc>
      </w:tr>
    </w:tbl>
    <w:p>
      <w:pPr>
        <w:pStyle w:val="15"/>
        <w:jc w:val="both"/>
      </w:pPr>
    </w:p>
    <w:p>
      <w:pPr>
        <w:pStyle w:val="15"/>
        <w:jc w:val="both"/>
        <w:rPr>
          <w:sz w:val="28"/>
          <w:szCs w:val="28"/>
        </w:rPr>
      </w:pPr>
      <w:r>
        <w:rPr>
          <w:b/>
          <w:sz w:val="28"/>
          <w:szCs w:val="28"/>
          <w:lang w:val="en-US"/>
        </w:rPr>
        <w:t>IX</w:t>
      </w:r>
      <w:r>
        <w:rPr>
          <w:b/>
          <w:sz w:val="28"/>
          <w:szCs w:val="28"/>
        </w:rPr>
        <w:t>. Договор</w:t>
      </w:r>
    </w:p>
    <w:p>
      <w:pPr>
        <w:ind w:firstLine="709"/>
        <w:contextualSpacing/>
        <w:jc w:val="both"/>
        <w:rPr>
          <w:sz w:val="28"/>
          <w:szCs w:val="28"/>
        </w:rPr>
      </w:pPr>
      <w:r>
        <w:rPr>
          <w:sz w:val="28"/>
          <w:szCs w:val="28"/>
        </w:rPr>
        <w:t>1. Организатором в соответствии с требованиями законодательства и особенностями предмета закупки разработаны проекты договоров для участников-резидентов Республики Беларусь и проект контракта для участников – нерезидентов Республики Беларусь.</w:t>
      </w:r>
    </w:p>
    <w:p>
      <w:pPr>
        <w:ind w:firstLine="709"/>
        <w:contextualSpacing/>
        <w:jc w:val="both"/>
        <w:rPr>
          <w:sz w:val="28"/>
          <w:szCs w:val="28"/>
        </w:rPr>
      </w:pPr>
      <w:r>
        <w:rPr>
          <w:sz w:val="28"/>
          <w:szCs w:val="28"/>
        </w:rPr>
        <w:t>Указанные проекты договоров (контрактов) является неотъемлемой частью настоящих аукционных документов.</w:t>
      </w:r>
    </w:p>
    <w:p>
      <w:pPr>
        <w:pStyle w:val="20"/>
        <w:ind w:firstLine="709"/>
        <w:jc w:val="both"/>
        <w:rPr>
          <w:sz w:val="28"/>
          <w:szCs w:val="28"/>
        </w:rPr>
      </w:pPr>
      <w:r>
        <w:rPr>
          <w:sz w:val="28"/>
          <w:szCs w:val="28"/>
        </w:rPr>
        <w:t>При проведении электронного аукциона договор между организатором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pPr>
        <w:pStyle w:val="20"/>
        <w:ind w:firstLine="709"/>
        <w:jc w:val="both"/>
        <w:rPr>
          <w:sz w:val="28"/>
          <w:szCs w:val="28"/>
        </w:rPr>
      </w:pPr>
      <w:r>
        <w:rPr>
          <w:sz w:val="28"/>
          <w:szCs w:val="28"/>
        </w:rPr>
        <w:t>При проведении электронного аукциона в случае, если предметом государственной закупки являются товары, договор между организатором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организатором.</w:t>
      </w:r>
    </w:p>
    <w:p>
      <w:pPr>
        <w:pStyle w:val="20"/>
        <w:ind w:firstLine="540"/>
        <w:jc w:val="both"/>
        <w:rPr>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t>Договор между организатором</w:t>
      </w:r>
      <w:r>
        <w:rPr>
          <w:rFonts w:hint="default"/>
          <w:color w:val="000000" w:themeColor="text1"/>
          <w:sz w:val="28"/>
          <w:szCs w:val="28"/>
          <w:highlight w:val="none"/>
          <w:lang w:val="ru-RU"/>
          <w14:textFill>
            <w14:solidFill>
              <w14:schemeClr w14:val="tx1"/>
            </w14:solidFill>
          </w14:textFill>
        </w:rPr>
        <w:t xml:space="preserve"> и </w:t>
      </w:r>
      <w:r>
        <w:rPr>
          <w:color w:val="000000" w:themeColor="text1"/>
          <w:sz w:val="28"/>
          <w:szCs w:val="28"/>
          <w:highlight w:val="none"/>
          <w14:textFill>
            <w14:solidFill>
              <w14:schemeClr w14:val="tx1"/>
            </w14:solidFill>
          </w14:textFill>
        </w:rPr>
        <w:t>участником-победителем подлежит заключению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pPr>
        <w:pStyle w:val="20"/>
        <w:ind w:firstLine="560" w:firstLineChars="200"/>
        <w:jc w:val="both"/>
        <w:rPr>
          <w:rFonts w:hint="default"/>
          <w:color w:val="000000" w:themeColor="text1"/>
          <w:sz w:val="28"/>
          <w:szCs w:val="28"/>
          <w:highlight w:val="none"/>
          <w:shd w:val="clear" w:color="auto" w:fill="auto"/>
          <w:lang w:val="ru-RU"/>
          <w14:textFill>
            <w14:solidFill>
              <w14:schemeClr w14:val="tx1"/>
            </w14:solidFill>
          </w14:textFill>
        </w:rPr>
      </w:pPr>
      <w:r>
        <w:rPr>
          <w:rFonts w:hint="default"/>
          <w:color w:val="000000" w:themeColor="text1"/>
          <w:sz w:val="28"/>
          <w:szCs w:val="28"/>
          <w:highlight w:val="none"/>
          <w14:textFill>
            <w14:solidFill>
              <w14:schemeClr w14:val="tx1"/>
            </w14:solidFill>
          </w14:textFill>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w:t>
      </w:r>
      <w:r>
        <w:rPr>
          <w:rFonts w:hint="default"/>
          <w:color w:val="000000" w:themeColor="text1"/>
          <w:sz w:val="28"/>
          <w:szCs w:val="28"/>
          <w:highlight w:val="none"/>
          <w:lang w:val="ru-RU"/>
          <w14:textFill>
            <w14:solidFill>
              <w14:schemeClr w14:val="tx1"/>
            </w14:solidFill>
          </w14:textFill>
        </w:rPr>
        <w:t xml:space="preserve">, </w:t>
      </w:r>
      <w:r>
        <w:rPr>
          <w:color w:val="000000" w:themeColor="text1"/>
          <w:sz w:val="28"/>
          <w:szCs w:val="28"/>
          <w:highlight w:val="none"/>
          <w:shd w:val="clear" w:color="auto" w:fill="auto"/>
          <w14:textFill>
            <w14:solidFill>
              <w14:schemeClr w14:val="tx1"/>
            </w14:solidFill>
          </w14:textFill>
        </w:rPr>
        <w:t>установленной регламентом оператора электронной торговой площадки</w:t>
      </w:r>
      <w:r>
        <w:rPr>
          <w:rFonts w:hint="default"/>
          <w:color w:val="000000" w:themeColor="text1"/>
          <w:sz w:val="28"/>
          <w:szCs w:val="28"/>
          <w:highlight w:val="none"/>
          <w:shd w:val="clear" w:color="auto" w:fill="auto"/>
          <w:lang w:val="ru-RU"/>
          <w14:textFill>
            <w14:solidFill>
              <w14:schemeClr w14:val="tx1"/>
            </w14:solidFill>
          </w14:textFill>
        </w:rPr>
        <w:t>.</w:t>
      </w:r>
    </w:p>
    <w:p>
      <w:pPr>
        <w:pStyle w:val="20"/>
        <w:ind w:firstLine="540"/>
        <w:jc w:val="both"/>
        <w:rPr>
          <w:rFonts w:hint="default"/>
          <w:b w:val="0"/>
          <w:bCs w:val="0"/>
          <w:color w:val="000000" w:themeColor="text1"/>
          <w:sz w:val="28"/>
          <w:szCs w:val="28"/>
          <w:highlight w:val="none"/>
          <w:shd w:val="clear" w:color="auto" w:fill="auto"/>
          <w:lang w:val="ru-RU"/>
          <w14:textFill>
            <w14:solidFill>
              <w14:schemeClr w14:val="tx1"/>
            </w14:solidFill>
          </w14:textFill>
        </w:rPr>
      </w:pPr>
      <w:r>
        <w:rPr>
          <w:rFonts w:hint="default"/>
          <w:color w:val="000000" w:themeColor="text1"/>
          <w:sz w:val="28"/>
          <w:szCs w:val="28"/>
          <w:highlight w:val="none"/>
          <w:shd w:val="clear" w:color="auto" w:fill="auto"/>
          <w:lang w:val="ru-RU"/>
          <w14:textFill>
            <w14:solidFill>
              <w14:schemeClr w14:val="tx1"/>
            </w14:solidFill>
          </w14:textFill>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r>
        <w:rPr>
          <w:rFonts w:hint="default" w:ascii="Times New Roman" w:hAnsi="Times New Roman" w:eastAsia="SimSun" w:cs="Times New Roman"/>
          <w:b w:val="0"/>
          <w:bCs w:val="0"/>
          <w:i w:val="0"/>
          <w:iCs w:val="0"/>
          <w:caps w:val="0"/>
          <w:color w:val="000000" w:themeColor="text1"/>
          <w:spacing w:val="0"/>
          <w:sz w:val="28"/>
          <w:szCs w:val="28"/>
          <w:shd w:val="clear" w:fill="FFFFFF"/>
          <w14:textFill>
            <w14:solidFill>
              <w14:schemeClr w14:val="tx1"/>
            </w14:solidFill>
          </w14:textFill>
        </w:rPr>
        <w:t>поставщиков (подрядчиков, исполнителей), временно не допускаемых к участию в процедурах государственных закупок</w:t>
      </w:r>
      <w:r>
        <w:rPr>
          <w:rFonts w:hint="default" w:ascii="Times New Roman" w:hAnsi="Times New Roman" w:eastAsia="SimSun" w:cs="Times New Roman"/>
          <w:b w:val="0"/>
          <w:bCs w:val="0"/>
          <w:i w:val="0"/>
          <w:iCs w:val="0"/>
          <w:caps w:val="0"/>
          <w:color w:val="000000" w:themeColor="text1"/>
          <w:spacing w:val="0"/>
          <w:sz w:val="28"/>
          <w:szCs w:val="28"/>
          <w:shd w:val="clear" w:fill="FFFFFF"/>
          <w:lang w:val="ru-RU"/>
          <w14:textFill>
            <w14:solidFill>
              <w14:schemeClr w14:val="tx1"/>
            </w14:solidFill>
          </w14:textFill>
        </w:rPr>
        <w:t>.</w:t>
      </w:r>
    </w:p>
    <w:p>
      <w:pPr>
        <w:pStyle w:val="20"/>
        <w:ind w:firstLine="709"/>
        <w:jc w:val="both"/>
        <w:rPr>
          <w:sz w:val="28"/>
          <w:szCs w:val="28"/>
        </w:rPr>
      </w:pPr>
      <w:r>
        <w:rPr>
          <w:color w:val="000000" w:themeColor="text1"/>
          <w:sz w:val="28"/>
          <w:szCs w:val="28"/>
          <w:highlight w:val="none"/>
          <w:shd w:val="clear" w:color="auto" w:fill="auto"/>
          <w14:textFill>
            <w14:solidFill>
              <w14:schemeClr w14:val="tx1"/>
            </w14:solidFill>
          </w14:textFill>
        </w:rPr>
        <w:t xml:space="preserve">2. При распределении предмета государственной закупки и его объема </w:t>
      </w:r>
      <w:r>
        <w:rPr>
          <w:color w:val="000000" w:themeColor="text1"/>
          <w:sz w:val="28"/>
          <w:szCs w:val="28"/>
          <w:highlight w:val="none"/>
          <w14:textFill>
            <w14:solidFill>
              <w14:schemeClr w14:val="tx1"/>
            </w14:solidFill>
          </w14:textFill>
        </w:rPr>
        <w:t xml:space="preserve">(количества) по частям (лотам) организатор вправе заключить один договор </w:t>
      </w:r>
      <w:r>
        <w:rPr>
          <w:sz w:val="28"/>
          <w:szCs w:val="28"/>
        </w:rPr>
        <w:t>с участником-победителем, признанным таковым по нескольким частям (лотам), если условия проектов договоров одинаковы для всех частей (лотов).</w:t>
      </w:r>
    </w:p>
    <w:p>
      <w:pPr>
        <w:pStyle w:val="20"/>
        <w:ind w:firstLine="709"/>
        <w:jc w:val="both"/>
        <w:rPr>
          <w:sz w:val="28"/>
          <w:szCs w:val="28"/>
        </w:rPr>
      </w:pPr>
      <w:r>
        <w:rPr>
          <w:sz w:val="28"/>
          <w:szCs w:val="28"/>
        </w:rPr>
        <w:t>3. В случае, если срок производства закупаемых товаров (выполнения работ, оказания услуг) составляет более календарного года, договор заключается на необходимый срок, но его исполнение должно осуществляться в пределах годовых ассигнований, предусмотренных для этих целей и уточняемых при необходимости ежегодно в договоре.</w:t>
      </w:r>
    </w:p>
    <w:p>
      <w:pPr>
        <w:pStyle w:val="20"/>
        <w:ind w:firstLine="709"/>
        <w:jc w:val="both"/>
        <w:rPr>
          <w:sz w:val="28"/>
          <w:szCs w:val="28"/>
        </w:rPr>
      </w:pPr>
      <w:r>
        <w:rPr>
          <w:sz w:val="28"/>
          <w:szCs w:val="28"/>
        </w:rPr>
        <w:t>4. 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порядке, установленном частями второй - шестой пункта 4 ст. 24 Закона.</w:t>
      </w:r>
    </w:p>
    <w:p>
      <w:pPr>
        <w:pStyle w:val="20"/>
        <w:ind w:firstLine="709"/>
        <w:jc w:val="both"/>
        <w:rPr>
          <w:sz w:val="28"/>
          <w:szCs w:val="28"/>
        </w:rPr>
      </w:pPr>
      <w:r>
        <w:rPr>
          <w:sz w:val="28"/>
          <w:szCs w:val="28"/>
        </w:rPr>
        <w:t>В течение пяти календарных дней со дня истечения срока для обжалования, установленного абзацем третьим пункта 2 статьи 52 Закона,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организатор размещает на электронной торговой площадке проект договора, условия которого сформированы в соответствии с частями первой-третьей пункта 1 статьи 24 Закона.</w:t>
      </w:r>
    </w:p>
    <w:p>
      <w:pPr>
        <w:pStyle w:val="20"/>
        <w:ind w:firstLine="709"/>
        <w:jc w:val="both"/>
        <w:rPr>
          <w:sz w:val="28"/>
          <w:szCs w:val="28"/>
        </w:rPr>
      </w:pPr>
      <w:r>
        <w:rPr>
          <w:sz w:val="28"/>
          <w:szCs w:val="28"/>
        </w:rPr>
        <w:t>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организатором проекта договора на электронной торговой площадке подписывает такой проект.</w:t>
      </w:r>
    </w:p>
    <w:p>
      <w:pPr>
        <w:pStyle w:val="20"/>
        <w:ind w:firstLine="709"/>
        <w:jc w:val="both"/>
        <w:rPr>
          <w:sz w:val="28"/>
          <w:szCs w:val="28"/>
        </w:rPr>
      </w:pPr>
      <w:r>
        <w:rPr>
          <w:sz w:val="28"/>
          <w:szCs w:val="28"/>
        </w:rPr>
        <w:t>В случае несоответствия условий проекта договора условиям, указанным в документах, предоставляемых для подготовки предложения, и (или) условиям, содержащимся в предложении этого участника-победителя и (или) протоколе выбора участника-победителя, участник-победитель в течение трех рабочих дней со дня размещения на электронной торговой площадке организатором проекта договора размещает на электронной торговой площадке соответствующее уведомление с возражениями. Уведомление с возражениями может быть размещено участником-победителем на электронной торговой площадке в отношении соответствующего проекта договора не более одного раза.</w:t>
      </w:r>
    </w:p>
    <w:p>
      <w:pPr>
        <w:pStyle w:val="20"/>
        <w:ind w:firstLine="709"/>
        <w:jc w:val="both"/>
        <w:rPr>
          <w:sz w:val="28"/>
          <w:szCs w:val="28"/>
        </w:rPr>
      </w:pPr>
      <w:r>
        <w:rPr>
          <w:sz w:val="28"/>
          <w:szCs w:val="28"/>
        </w:rPr>
        <w:t>Организатор в течение трех рабочих дней со дня размещения участником-победителем на электронной торговой площадке уведомления с возражениями рассматривает его и размещает на электронной торговой площадке:</w:t>
      </w:r>
    </w:p>
    <w:p>
      <w:pPr>
        <w:pStyle w:val="20"/>
        <w:ind w:firstLine="709"/>
        <w:jc w:val="both"/>
        <w:rPr>
          <w:sz w:val="28"/>
          <w:szCs w:val="28"/>
        </w:rPr>
      </w:pPr>
      <w:r>
        <w:rPr>
          <w:sz w:val="28"/>
          <w:szCs w:val="28"/>
        </w:rPr>
        <w:t>- при полном либо частичном согласии с возражениями - извещение о согласии учесть все либо отдельные возражения, формирует и размещает на электронной торговой площадке проект договора с учтенными возражениями;</w:t>
      </w:r>
    </w:p>
    <w:p>
      <w:pPr>
        <w:pStyle w:val="20"/>
        <w:ind w:firstLine="709"/>
        <w:jc w:val="both"/>
        <w:rPr>
          <w:sz w:val="28"/>
          <w:szCs w:val="28"/>
        </w:rPr>
      </w:pPr>
      <w:r>
        <w:rPr>
          <w:sz w:val="28"/>
          <w:szCs w:val="28"/>
        </w:rPr>
        <w:t>- при несогласии с возражениями - извещение с указанием причин невозможности учесть возражения.</w:t>
      </w:r>
    </w:p>
    <w:p>
      <w:pPr>
        <w:pStyle w:val="20"/>
        <w:ind w:firstLine="709"/>
        <w:jc w:val="both"/>
        <w:rPr>
          <w:sz w:val="28"/>
          <w:szCs w:val="28"/>
        </w:rPr>
      </w:pPr>
      <w:r>
        <w:rPr>
          <w:sz w:val="28"/>
          <w:szCs w:val="28"/>
        </w:rPr>
        <w:t>В течение трех рабочих дней со дня размещения организатором извещения, указанного в абзацах втором и третьем части пятой пункта 4 статьи 24 Закона, участник-победитель подписывает проект договора.</w:t>
      </w:r>
    </w:p>
    <w:p>
      <w:pPr>
        <w:pStyle w:val="20"/>
        <w:ind w:firstLine="709"/>
        <w:jc w:val="both"/>
        <w:rPr>
          <w:sz w:val="28"/>
          <w:szCs w:val="28"/>
        </w:rPr>
      </w:pPr>
      <w:r>
        <w:rPr>
          <w:sz w:val="28"/>
          <w:szCs w:val="28"/>
        </w:rPr>
        <w:t>Договор считается заключенным с момента подписания участником-победителем проекта договора в соответствии с частью третьей или частью шестой пункта 4 статьи 24 Закона.</w:t>
      </w:r>
    </w:p>
    <w:p>
      <w:pPr>
        <w:pStyle w:val="20"/>
        <w:ind w:firstLine="709"/>
        <w:jc w:val="both"/>
        <w:rPr>
          <w:sz w:val="28"/>
          <w:szCs w:val="28"/>
        </w:rPr>
      </w:pPr>
      <w:r>
        <w:rPr>
          <w:sz w:val="28"/>
          <w:szCs w:val="28"/>
        </w:rPr>
        <w:t>Оператор электронной торговой площадки уведомляет участника-победителя о размещении организатором проекта договора, извещений, указанных в абзацах втором и третьем части пятой пункта 4 статьи 24 Закона, а также организатора о размещении участником-победителем уведомления с возражениями в порядке, установленном своим регламентом. Операторы электронной торговой площадки и государственной информационно-аналитической системы обеспечивают размещение заключенного договора в государственной информационно-аналитической системе.</w:t>
      </w:r>
    </w:p>
    <w:p>
      <w:pPr>
        <w:pStyle w:val="20"/>
        <w:ind w:firstLine="709"/>
        <w:jc w:val="both"/>
        <w:rPr>
          <w:sz w:val="28"/>
          <w:szCs w:val="28"/>
        </w:rPr>
      </w:pPr>
      <w:r>
        <w:rPr>
          <w:sz w:val="28"/>
          <w:szCs w:val="28"/>
        </w:rPr>
        <w:t>Участник-победитель признается уклонившимся от заключения договора при неподписании:</w:t>
      </w:r>
    </w:p>
    <w:p>
      <w:pPr>
        <w:pStyle w:val="20"/>
        <w:ind w:firstLine="709"/>
        <w:jc w:val="both"/>
        <w:rPr>
          <w:sz w:val="28"/>
          <w:szCs w:val="28"/>
        </w:rPr>
      </w:pPr>
      <w:r>
        <w:rPr>
          <w:sz w:val="28"/>
          <w:szCs w:val="28"/>
        </w:rPr>
        <w:t>- проекта договора в срок, установленный частью третьей пункта 4 статьи 24 Закона, и неразмещении уведомления, указанного в части четвертой пункта 4 статьи 24 Закона;</w:t>
      </w:r>
    </w:p>
    <w:p>
      <w:pPr>
        <w:pStyle w:val="20"/>
        <w:ind w:firstLine="709"/>
        <w:jc w:val="both"/>
        <w:rPr>
          <w:sz w:val="28"/>
          <w:szCs w:val="28"/>
        </w:rPr>
      </w:pPr>
      <w:r>
        <w:rPr>
          <w:sz w:val="28"/>
          <w:szCs w:val="28"/>
        </w:rPr>
        <w:t>- проекта договора в соответствии с частью шестой пункта 4 статьи 24 Закона.</w:t>
      </w:r>
    </w:p>
    <w:p>
      <w:pPr>
        <w:pStyle w:val="15"/>
        <w:ind w:firstLine="540"/>
        <w:jc w:val="both"/>
        <w:rPr>
          <w:sz w:val="28"/>
          <w:szCs w:val="28"/>
        </w:rPr>
      </w:pPr>
      <w:r>
        <w:rPr>
          <w:sz w:val="28"/>
          <w:szCs w:val="28"/>
        </w:rPr>
        <w:t xml:space="preserve">Договор в обязательном порядке должен содержать требования к сроку и (или) объему предоставления гарантий качества товара, а именно: </w:t>
      </w:r>
    </w:p>
    <w:p>
      <w:pPr>
        <w:pStyle w:val="15"/>
        <w:ind w:firstLine="567"/>
        <w:jc w:val="both"/>
        <w:rPr>
          <w:sz w:val="28"/>
          <w:szCs w:val="28"/>
        </w:rPr>
      </w:pPr>
      <w:r>
        <w:rPr>
          <w:sz w:val="28"/>
          <w:szCs w:val="28"/>
        </w:rPr>
        <w:t>Остаточный срок годности лекарственных средств должен быть:</w:t>
      </w:r>
    </w:p>
    <w:p>
      <w:pPr>
        <w:numPr>
          <w:ilvl w:val="0"/>
          <w:numId w:val="4"/>
        </w:numPr>
        <w:jc w:val="both"/>
        <w:rPr>
          <w:sz w:val="28"/>
          <w:szCs w:val="28"/>
        </w:rPr>
      </w:pPr>
      <w:r>
        <w:rPr>
          <w:sz w:val="28"/>
          <w:szCs w:val="28"/>
        </w:rPr>
        <w:t xml:space="preserve">не менее </w:t>
      </w:r>
      <w:r>
        <w:rPr>
          <w:rFonts w:hint="default"/>
          <w:sz w:val="28"/>
          <w:szCs w:val="28"/>
          <w:lang w:val="ru-RU"/>
        </w:rPr>
        <w:t>3</w:t>
      </w:r>
      <w:r>
        <w:rPr>
          <w:sz w:val="28"/>
          <w:szCs w:val="28"/>
        </w:rPr>
        <w:t>0%</w:t>
      </w:r>
      <w:r>
        <w:rPr>
          <w:rFonts w:hint="default"/>
          <w:sz w:val="28"/>
          <w:szCs w:val="28"/>
          <w:lang w:val="ru-RU"/>
        </w:rPr>
        <w:t xml:space="preserve"> (общий срок годности 36 месяцев).</w:t>
      </w:r>
    </w:p>
    <w:p>
      <w:pPr>
        <w:pStyle w:val="17"/>
      </w:pPr>
    </w:p>
    <w:p>
      <w:pPr>
        <w:widowControl w:val="0"/>
        <w:autoSpaceDE w:val="0"/>
        <w:autoSpaceDN w:val="0"/>
        <w:ind w:left="0" w:leftChars="0" w:firstLine="0" w:firstLineChars="0"/>
        <w:jc w:val="both"/>
        <w:rPr>
          <w:b/>
          <w:color w:val="000000" w:themeColor="text1"/>
          <w:sz w:val="28"/>
          <w:szCs w:val="28"/>
          <w14:textFill>
            <w14:solidFill>
              <w14:schemeClr w14:val="tx1"/>
            </w14:solidFill>
          </w14:textFill>
        </w:rPr>
      </w:pPr>
      <w:r>
        <w:rPr>
          <w:b/>
          <w:color w:val="000000" w:themeColor="text1"/>
          <w:sz w:val="28"/>
          <w:szCs w:val="28"/>
          <w:lang w:val="en-US"/>
          <w14:textFill>
            <w14:solidFill>
              <w14:schemeClr w14:val="tx1"/>
            </w14:solidFill>
          </w14:textFill>
        </w:rPr>
        <w:t>X</w:t>
      </w:r>
      <w:r>
        <w:rPr>
          <w:rFonts w:hint="default"/>
          <w:b/>
          <w:color w:val="000000" w:themeColor="text1"/>
          <w:sz w:val="28"/>
          <w:szCs w:val="28"/>
          <w:lang w:val="ru-RU"/>
          <w14:textFill>
            <w14:solidFill>
              <w14:schemeClr w14:val="tx1"/>
            </w14:solidFill>
          </w14:textFill>
        </w:rPr>
        <w:t>.</w:t>
      </w:r>
      <w:r>
        <w:rPr>
          <w:b/>
          <w:color w:val="000000" w:themeColor="text1"/>
          <w:sz w:val="28"/>
          <w:szCs w:val="28"/>
          <w14:textFill>
            <w14:solidFill>
              <w14:schemeClr w14:val="tx1"/>
            </w14:solidFill>
          </w14:textFill>
        </w:rPr>
        <w:t xml:space="preserve"> Совместное участие в процедуре государственной закупки</w:t>
      </w:r>
      <w:r>
        <w:rPr>
          <w:rFonts w:hint="default"/>
          <w:b/>
          <w:color w:val="000000" w:themeColor="text1"/>
          <w:sz w:val="28"/>
          <w:szCs w:val="28"/>
          <w:lang w:val="ru-RU"/>
          <w14:textFill>
            <w14:solidFill>
              <w14:schemeClr w14:val="tx1"/>
            </w14:solidFill>
          </w14:textFill>
        </w:rPr>
        <w:t>.</w:t>
      </w:r>
      <w:r>
        <w:rPr>
          <w:b/>
          <w:color w:val="000000" w:themeColor="text1"/>
          <w:sz w:val="28"/>
          <w:szCs w:val="28"/>
          <w14:textFill>
            <w14:solidFill>
              <w14:schemeClr w14:val="tx1"/>
            </w14:solidFill>
          </w14:textFill>
        </w:rPr>
        <w:t xml:space="preserve"> </w:t>
      </w:r>
    </w:p>
    <w:p>
      <w:pPr>
        <w:widowControl w:val="0"/>
        <w:autoSpaceDE w:val="0"/>
        <w:autoSpaceDN w:val="0"/>
        <w:ind w:firstLine="567"/>
        <w:jc w:val="both"/>
        <w:rPr>
          <w:b/>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Совместное участие в процедурах государственных закупок допускается </w:t>
      </w:r>
      <w:r>
        <w:rPr>
          <w:b/>
          <w:color w:val="000000" w:themeColor="text1"/>
          <w:sz w:val="28"/>
          <w:szCs w:val="28"/>
          <w14:textFill>
            <w14:solidFill>
              <w14:schemeClr w14:val="tx1"/>
            </w14:solidFill>
          </w14:textFill>
        </w:rPr>
        <w:t xml:space="preserve">в случаях, установленных законодательными актами Республики Беларусь (для холдингов). </w:t>
      </w:r>
    </w:p>
    <w:p>
      <w:pPr>
        <w:shd w:val="clear" w:color="auto" w:fill="FFFFFF"/>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pPr>
        <w:shd w:val="clear" w:color="auto" w:fill="FFFFFF"/>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 в его первом разделе;</w:t>
      </w:r>
    </w:p>
    <w:p>
      <w:pPr>
        <w:shd w:val="clear" w:color="auto" w:fill="FFFFFF"/>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соответствие требованиям к участникам, установленным пунктами 2.1, 2.1</w:t>
      </w:r>
      <w:r>
        <w:rPr>
          <w:rFonts w:hint="default"/>
          <w:color w:val="000000" w:themeColor="text1"/>
          <w:sz w:val="28"/>
          <w:szCs w:val="28"/>
          <w:lang w:val="ru-RU"/>
          <w14:textFill>
            <w14:solidFill>
              <w14:schemeClr w14:val="tx1"/>
            </w14:solidFill>
          </w14:textFill>
        </w:rPr>
        <w:t xml:space="preserve">1. </w:t>
      </w:r>
      <w:r>
        <w:rPr>
          <w:color w:val="000000" w:themeColor="text1"/>
          <w:sz w:val="28"/>
          <w:szCs w:val="28"/>
          <w14:textFill>
            <w14:solidFill>
              <w14:schemeClr w14:val="tx1"/>
            </w14:solidFill>
          </w14:textFill>
        </w:rPr>
        <w:t xml:space="preserve">раздела </w:t>
      </w:r>
      <w:r>
        <w:rPr>
          <w:color w:val="000000" w:themeColor="text1"/>
          <w:sz w:val="28"/>
          <w:szCs w:val="28"/>
          <w:lang w:val="en-US"/>
          <w14:textFill>
            <w14:solidFill>
              <w14:schemeClr w14:val="tx1"/>
            </w14:solidFill>
          </w14:textFill>
        </w:rPr>
        <w:t>II</w:t>
      </w:r>
      <w:r>
        <w:rPr>
          <w:color w:val="000000" w:themeColor="text1"/>
          <w:sz w:val="28"/>
          <w:szCs w:val="28"/>
          <w14:textFill>
            <w14:solidFill>
              <w14:schemeClr w14:val="tx1"/>
            </w14:solidFill>
          </w14:textFill>
        </w:rPr>
        <w:t xml:space="preserve"> «Требования к участникам, документы и (или) сведения для проверки требований к участникам» настоящих аукционных документов,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pPr>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соответствие дополнительным требованиям к участникам, установленным пунктами 2.</w:t>
      </w:r>
      <w:r>
        <w:rPr>
          <w:rFonts w:hint="default"/>
          <w:color w:val="000000" w:themeColor="text1"/>
          <w:sz w:val="28"/>
          <w:szCs w:val="28"/>
          <w:lang w:val="ru-RU"/>
          <w14:textFill>
            <w14:solidFill>
              <w14:schemeClr w14:val="tx1"/>
            </w14:solidFill>
          </w14:textFill>
        </w:rPr>
        <w:t>1</w:t>
      </w:r>
      <w:r>
        <w:rPr>
          <w:color w:val="000000" w:themeColor="text1"/>
          <w:sz w:val="28"/>
          <w:szCs w:val="28"/>
          <w14:textFill>
            <w14:solidFill>
              <w14:schemeClr w14:val="tx1"/>
            </w14:solidFill>
          </w14:textFill>
        </w:rPr>
        <w:t>2.-2.</w:t>
      </w:r>
      <w:r>
        <w:rPr>
          <w:rFonts w:hint="default"/>
          <w:color w:val="000000" w:themeColor="text1"/>
          <w:sz w:val="28"/>
          <w:szCs w:val="28"/>
          <w:lang w:val="ru-RU"/>
          <w14:textFill>
            <w14:solidFill>
              <w14:schemeClr w14:val="tx1"/>
            </w14:solidFill>
          </w14:textFill>
        </w:rPr>
        <w:t>18</w:t>
      </w:r>
      <w:r>
        <w:rPr>
          <w:color w:val="000000" w:themeColor="text1"/>
          <w:sz w:val="28"/>
          <w:szCs w:val="28"/>
          <w14:textFill>
            <w14:solidFill>
              <w14:schemeClr w14:val="tx1"/>
            </w14:solidFill>
          </w14:textFill>
        </w:rPr>
        <w:t xml:space="preserve">. раздела </w:t>
      </w:r>
      <w:r>
        <w:rPr>
          <w:color w:val="000000" w:themeColor="text1"/>
          <w:sz w:val="28"/>
          <w:szCs w:val="28"/>
          <w:lang w:val="en-US"/>
          <w14:textFill>
            <w14:solidFill>
              <w14:schemeClr w14:val="tx1"/>
            </w14:solidFill>
          </w14:textFill>
        </w:rPr>
        <w:t>II</w:t>
      </w:r>
      <w:r>
        <w:rPr>
          <w:color w:val="000000" w:themeColor="text1"/>
          <w:sz w:val="28"/>
          <w:szCs w:val="28"/>
          <w14:textFill>
            <w14:solidFill>
              <w14:schemeClr w14:val="tx1"/>
            </w14:solidFill>
          </w14:textFill>
        </w:rPr>
        <w:t xml:space="preserve"> «Требования к участникам, документы и (или) сведения для проверки требований к участникам» настоящих аукционных документов, подтверждается заявлением участника в отношении каждого участника холдинга;</w:t>
      </w:r>
    </w:p>
    <w:p>
      <w:pPr>
        <w:shd w:val="clear" w:color="auto" w:fill="FFFFFF"/>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соответствие требованиям к участникам, установленным пунктами 2.</w:t>
      </w:r>
      <w:r>
        <w:rPr>
          <w:rFonts w:hint="default"/>
          <w:color w:val="000000" w:themeColor="text1"/>
          <w:sz w:val="28"/>
          <w:szCs w:val="28"/>
          <w:lang w:val="ru-RU"/>
          <w14:textFill>
            <w14:solidFill>
              <w14:schemeClr w14:val="tx1"/>
            </w14:solidFill>
          </w14:textFill>
        </w:rPr>
        <w:t>2.</w:t>
      </w:r>
      <w:r>
        <w:rPr>
          <w:color w:val="000000" w:themeColor="text1"/>
          <w:sz w:val="28"/>
          <w:szCs w:val="28"/>
          <w14:textFill>
            <w14:solidFill>
              <w14:schemeClr w14:val="tx1"/>
            </w14:solidFill>
          </w14:textFill>
        </w:rPr>
        <w:t>-2.1</w:t>
      </w:r>
      <w:r>
        <w:rPr>
          <w:rFonts w:hint="default"/>
          <w:color w:val="000000" w:themeColor="text1"/>
          <w:sz w:val="28"/>
          <w:szCs w:val="28"/>
          <w:lang w:val="ru-RU"/>
          <w14:textFill>
            <w14:solidFill>
              <w14:schemeClr w14:val="tx1"/>
            </w14:solidFill>
          </w14:textFill>
        </w:rPr>
        <w:t>0.</w:t>
      </w:r>
      <w:r>
        <w:rPr>
          <w:color w:val="000000" w:themeColor="text1"/>
          <w:sz w:val="28"/>
          <w:szCs w:val="28"/>
          <w14:textFill>
            <w14:solidFill>
              <w14:schemeClr w14:val="tx1"/>
            </w14:solidFill>
          </w14:textFill>
        </w:rPr>
        <w:t xml:space="preserve"> раздела </w:t>
      </w:r>
      <w:r>
        <w:rPr>
          <w:color w:val="000000" w:themeColor="text1"/>
          <w:sz w:val="28"/>
          <w:szCs w:val="28"/>
          <w:lang w:val="en-US"/>
          <w14:textFill>
            <w14:solidFill>
              <w14:schemeClr w14:val="tx1"/>
            </w14:solidFill>
          </w14:textFill>
        </w:rPr>
        <w:t>II</w:t>
      </w:r>
      <w:r>
        <w:rPr>
          <w:color w:val="000000" w:themeColor="text1"/>
          <w:sz w:val="28"/>
          <w:szCs w:val="28"/>
          <w14:textFill>
            <w14:solidFill>
              <w14:schemeClr w14:val="tx1"/>
            </w14:solidFill>
          </w14:textFill>
        </w:rPr>
        <w:t xml:space="preserve"> «Требования к участникам, документы и (или) сведения для проверки требований к участникам» настоящих аукционных документов,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pPr>
        <w:shd w:val="clear" w:color="auto" w:fill="FFFFFF"/>
        <w:ind w:firstLine="709"/>
        <w:jc w:val="both"/>
        <w:rPr>
          <w:color w:val="000000" w:themeColor="text1"/>
          <w14:textFill>
            <w14:solidFill>
              <w14:schemeClr w14:val="tx1"/>
            </w14:solidFill>
          </w14:textFill>
        </w:rPr>
      </w:pPr>
      <w:r>
        <w:rPr>
          <w:color w:val="000000" w:themeColor="text1"/>
          <w:sz w:val="28"/>
          <w:szCs w:val="28"/>
          <w14:textFill>
            <w14:solidFill>
              <w14:schemeClr w14:val="tx1"/>
            </w14:solidFill>
          </w14:textFill>
        </w:rPr>
        <w:t>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w:t>
      </w:r>
    </w:p>
    <w:p>
      <w:pPr>
        <w:shd w:val="clear" w:color="auto" w:fill="FFFFFF"/>
        <w:ind w:firstLine="709"/>
        <w:jc w:val="both"/>
        <w:rPr>
          <w:color w:val="000000" w:themeColor="text1"/>
          <w14:textFill>
            <w14:solidFill>
              <w14:schemeClr w14:val="tx1"/>
            </w14:solidFill>
          </w14:textFill>
        </w:rPr>
      </w:pPr>
      <w:r>
        <w:rPr>
          <w:color w:val="000000" w:themeColor="text1"/>
          <w:sz w:val="28"/>
          <w:szCs w:val="28"/>
          <w14:textFill>
            <w14:solidFill>
              <w14:schemeClr w14:val="tx1"/>
            </w14:solidFill>
          </w14:textFill>
        </w:rPr>
        <w:t xml:space="preserve"> 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pPr>
        <w:pStyle w:val="17"/>
        <w:ind w:firstLine="567"/>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Республики Беларусь от 13.07.2012 N 419-З "О государственных закупках товаров (работ, услуг)",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p>
      <w:pPr>
        <w:pStyle w:val="17"/>
      </w:pPr>
    </w:p>
    <w:p>
      <w:pPr>
        <w:pStyle w:val="15"/>
        <w:ind w:firstLine="567"/>
        <w:jc w:val="both"/>
        <w:rPr>
          <w:b/>
          <w:sz w:val="28"/>
          <w:szCs w:val="28"/>
        </w:rPr>
      </w:pPr>
      <w:r>
        <w:rPr>
          <w:b/>
          <w:sz w:val="28"/>
          <w:szCs w:val="28"/>
          <w:lang w:val="en-US"/>
        </w:rPr>
        <w:t>X</w:t>
      </w:r>
      <w:r>
        <w:rPr>
          <w:rFonts w:hint="default"/>
          <w:b/>
          <w:sz w:val="28"/>
          <w:szCs w:val="28"/>
          <w:lang w:val="en-US"/>
        </w:rPr>
        <w:t>I</w:t>
      </w:r>
      <w:r>
        <w:rPr>
          <w:b/>
          <w:sz w:val="28"/>
          <w:szCs w:val="28"/>
        </w:rPr>
        <w:t>. Иные условия</w:t>
      </w:r>
    </w:p>
    <w:p>
      <w:pPr>
        <w:pStyle w:val="17"/>
        <w:spacing w:before="200" w:after="200"/>
        <w:ind w:firstLine="709"/>
        <w:contextualSpacing/>
        <w:jc w:val="both"/>
        <w:rPr>
          <w:rFonts w:ascii="Times New Roman" w:hAnsi="Times New Roman" w:cs="Times New Roman"/>
          <w:sz w:val="28"/>
          <w:szCs w:val="28"/>
        </w:rPr>
      </w:pPr>
      <w:r>
        <w:rPr>
          <w:rFonts w:ascii="Times New Roman" w:hAnsi="Times New Roman" w:cs="Times New Roman"/>
          <w:bCs/>
          <w:sz w:val="28"/>
          <w:szCs w:val="28"/>
        </w:rPr>
        <w:t>1. В связи с тем, что закупаемый товар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w:t>
      </w:r>
      <w:r>
        <w:rPr>
          <w:rFonts w:hint="default" w:ascii="Times New Roman" w:hAnsi="Times New Roman" w:cs="Times New Roman"/>
          <w:bCs/>
          <w:sz w:val="28"/>
          <w:szCs w:val="28"/>
          <w:lang w:val="ru-RU"/>
        </w:rPr>
        <w:t xml:space="preserve"> 1</w:t>
      </w:r>
      <w:r>
        <w:rPr>
          <w:rFonts w:ascii="Times New Roman" w:hAnsi="Times New Roman" w:cs="Times New Roman"/>
          <w:bCs/>
          <w:sz w:val="28"/>
          <w:szCs w:val="28"/>
        </w:rPr>
        <w:t xml:space="preserve"> к постановлению Совета Министров Республики Беларусь от 17.03.2016 г.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w:t>
      </w:r>
      <w:r>
        <w:rPr>
          <w:rFonts w:ascii="Times New Roman" w:hAnsi="Times New Roman" w:cs="Times New Roman"/>
          <w:bCs/>
          <w:sz w:val="28"/>
          <w:szCs w:val="28"/>
          <w:lang w:val="ru-RU"/>
        </w:rPr>
        <w:t>указанного</w:t>
      </w:r>
      <w:r>
        <w:rPr>
          <w:rFonts w:hint="default" w:ascii="Times New Roman" w:hAnsi="Times New Roman" w:cs="Times New Roman"/>
          <w:bCs/>
          <w:sz w:val="28"/>
          <w:szCs w:val="28"/>
          <w:lang w:val="ru-RU"/>
        </w:rPr>
        <w:t xml:space="preserve"> в приложении 1, </w:t>
      </w:r>
      <w:r>
        <w:rPr>
          <w:rFonts w:ascii="Times New Roman" w:hAnsi="Times New Roman" w:cs="Times New Roman"/>
          <w:bCs/>
          <w:sz w:val="28"/>
          <w:szCs w:val="28"/>
        </w:rPr>
        <w:t xml:space="preserve">происходящего из иностранного государства или группы иностранных государств, за исключением </w:t>
      </w:r>
      <w:r>
        <w:rPr>
          <w:rFonts w:ascii="Times New Roman" w:hAnsi="Times New Roman" w:cs="Times New Roman"/>
          <w:sz w:val="28"/>
          <w:szCs w:val="28"/>
        </w:rPr>
        <w:t xml:space="preserve">Республики Армения, Республики Казахстан, Кыргызской Республики и Российской Федерации, допускается к участию в данной процедуре только в случае, если </w:t>
      </w:r>
      <w:r>
        <w:rPr>
          <w:rFonts w:ascii="Times New Roman" w:hAnsi="Times New Roman" w:cs="Times New Roman"/>
          <w:sz w:val="28"/>
          <w:szCs w:val="28"/>
          <w:lang w:val="ru-RU"/>
        </w:rPr>
        <w:t>для</w:t>
      </w:r>
      <w:r>
        <w:rPr>
          <w:rFonts w:ascii="Times New Roman" w:hAnsi="Times New Roman" w:cs="Times New Roman"/>
          <w:sz w:val="28"/>
          <w:szCs w:val="28"/>
        </w:rPr>
        <w:t xml:space="preserve">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w:t>
      </w:r>
      <w:r>
        <w:rPr>
          <w:rFonts w:ascii="Times New Roman" w:hAnsi="Times New Roman" w:cs="Times New Roman"/>
          <w:sz w:val="28"/>
          <w:szCs w:val="28"/>
          <w:lang w:val="ru-RU"/>
        </w:rPr>
        <w:t>ы</w:t>
      </w:r>
      <w:r>
        <w:rPr>
          <w:rFonts w:ascii="Times New Roman" w:hAnsi="Times New Roman" w:cs="Times New Roman"/>
          <w:sz w:val="28"/>
          <w:szCs w:val="28"/>
        </w:rPr>
        <w:t>ргизской Республики и (или) Российской Федерации, и соответствующих требованиям аукционных документов.</w:t>
      </w:r>
    </w:p>
    <w:p>
      <w:pPr>
        <w:pStyle w:val="17"/>
        <w:spacing w:before="200" w:after="200"/>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2. Документами, подтверждающими страну происхождения товара, указанного в приложении</w:t>
      </w:r>
      <w:r>
        <w:rPr>
          <w:rFonts w:hint="default" w:ascii="Times New Roman" w:hAnsi="Times New Roman" w:cs="Times New Roman"/>
          <w:bCs/>
          <w:sz w:val="28"/>
          <w:szCs w:val="28"/>
          <w:lang w:val="ru-RU"/>
        </w:rPr>
        <w:t xml:space="preserve"> 1</w:t>
      </w:r>
      <w:r>
        <w:rPr>
          <w:rFonts w:ascii="Times New Roman" w:hAnsi="Times New Roman" w:cs="Times New Roman"/>
          <w:bCs/>
          <w:sz w:val="28"/>
          <w:szCs w:val="28"/>
        </w:rPr>
        <w:t xml:space="preserve"> к постановлению №206, для целей проведения процедуры государственной закупки являются:</w:t>
      </w:r>
    </w:p>
    <w:p>
      <w:pPr>
        <w:pStyle w:val="17"/>
        <w:spacing w:before="200" w:after="200"/>
        <w:ind w:firstLine="709"/>
        <w:contextualSpacing/>
        <w:jc w:val="both"/>
        <w:rPr>
          <w:rFonts w:ascii="Times New Roman" w:hAnsi="Times New Roman" w:cs="Times New Roman"/>
          <w:b/>
          <w:sz w:val="28"/>
          <w:szCs w:val="28"/>
        </w:rPr>
      </w:pPr>
      <w:r>
        <w:rPr>
          <w:rFonts w:ascii="Times New Roman" w:hAnsi="Times New Roman" w:cs="Times New Roman"/>
          <w:b/>
          <w:sz w:val="28"/>
          <w:szCs w:val="28"/>
        </w:rPr>
        <w:t>2.1. для товаров, происходящих из Республики Беларусь, указанных в приложении 1 к постановлению №206, один из следующих документов:</w:t>
      </w:r>
    </w:p>
    <w:p>
      <w:pPr>
        <w:pStyle w:val="17"/>
        <w:spacing w:before="200" w:after="200"/>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pPr>
        <w:pStyle w:val="17"/>
        <w:spacing w:before="200" w:after="200"/>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pPr>
        <w:pStyle w:val="17"/>
        <w:spacing w:before="200" w:after="200"/>
        <w:ind w:firstLine="709"/>
        <w:contextualSpacing/>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выписка из евразийского реестра промышленных товаров государств – членов Евразийского экономического союза, полученная в соответствии с </w:t>
      </w:r>
      <w:r>
        <w:fldChar w:fldCharType="begin"/>
      </w:r>
      <w:r>
        <w:instrText xml:space="preserve"> HYPERLINK "https://normativka.by/lib/document/500297124/rev/2024033199" \l "anchor=%D0%97%D0%B0%D0%B3_%D0%A3%D1%82%D0%B2_1&amp;point=24" \t "https://normativka.by/api/document/_parent" </w:instrText>
      </w:r>
      <w:r>
        <w:fldChar w:fldCharType="separate"/>
      </w:r>
      <w:r>
        <w:rPr>
          <w:rStyle w:val="6"/>
          <w:rFonts w:ascii="Times New Roman" w:hAnsi="Times New Roman" w:cs="Times New Roman"/>
          <w:color w:val="000000" w:themeColor="text1"/>
          <w:sz w:val="28"/>
          <w:szCs w:val="28"/>
          <w:u w:val="none"/>
          <w14:textFill>
            <w14:solidFill>
              <w14:schemeClr w14:val="tx1"/>
            </w14:solidFill>
          </w14:textFill>
        </w:rPr>
        <w:t>пунктом 24</w:t>
      </w:r>
      <w:r>
        <w:rPr>
          <w:rStyle w:val="6"/>
          <w:rFonts w:ascii="Times New Roman" w:hAnsi="Times New Roman" w:cs="Times New Roman"/>
          <w:color w:val="000000" w:themeColor="text1"/>
          <w:sz w:val="28"/>
          <w:szCs w:val="28"/>
          <w:u w:val="none"/>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pPr>
        <w:pStyle w:val="17"/>
        <w:keepNext w:val="0"/>
        <w:keepLines w:val="0"/>
        <w:pageBreakBefore w:val="0"/>
        <w:kinsoku/>
        <w:wordWrap/>
        <w:overflowPunct/>
        <w:topLinePunct w:val="0"/>
        <w:bidi w:val="0"/>
        <w:adjustRightInd/>
        <w:snapToGrid/>
        <w:ind w:firstLine="709"/>
        <w:contextualSpacing/>
        <w:jc w:val="both"/>
        <w:textAlignment w:val="auto"/>
        <w:rPr>
          <w:rFonts w:ascii="Times New Roman" w:hAnsi="Times New Roman" w:cs="Times New Roman"/>
          <w:color w:val="000000"/>
          <w:sz w:val="28"/>
          <w:szCs w:val="28"/>
        </w:rPr>
      </w:pPr>
      <w:r>
        <w:rPr>
          <w:rFonts w:ascii="Times New Roman" w:hAnsi="Times New Roman" w:cs="Times New Roman"/>
          <w:color w:val="000000"/>
          <w:sz w:val="28"/>
          <w:szCs w:val="28"/>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pPr>
        <w:keepNext w:val="0"/>
        <w:keepLines w:val="0"/>
        <w:pageBreakBefore w:val="0"/>
        <w:tabs>
          <w:tab w:val="left" w:pos="567"/>
        </w:tabs>
        <w:kinsoku/>
        <w:wordWrap/>
        <w:overflowPunct/>
        <w:topLinePunct w:val="0"/>
        <w:bidi w:val="0"/>
        <w:adjustRightInd/>
        <w:snapToGrid/>
        <w:ind w:firstLine="700" w:firstLineChars="250"/>
        <w:contextualSpacing/>
        <w:jc w:val="both"/>
        <w:textAlignment w:val="auto"/>
        <w:rPr>
          <w:b/>
          <w:bCs/>
          <w:color w:val="000000"/>
          <w:sz w:val="28"/>
          <w:szCs w:val="28"/>
          <w:shd w:val="clear" w:color="auto" w:fill="FFFFFF"/>
        </w:rPr>
      </w:pPr>
      <w:r>
        <w:rPr>
          <w:b/>
          <w:sz w:val="28"/>
          <w:szCs w:val="28"/>
        </w:rPr>
        <w:t>2.2.</w:t>
      </w:r>
      <w:r>
        <w:rPr>
          <w:bCs/>
          <w:sz w:val="28"/>
          <w:szCs w:val="28"/>
        </w:rPr>
        <w:t xml:space="preserve"> </w:t>
      </w:r>
      <w:r>
        <w:rPr>
          <w:b/>
          <w:bCs/>
          <w:color w:val="000000"/>
          <w:sz w:val="28"/>
          <w:szCs w:val="28"/>
          <w:shd w:val="clear" w:color="auto" w:fill="FFFFFF"/>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r>
        <w:fldChar w:fldCharType="begin"/>
      </w:r>
      <w:r>
        <w:instrText xml:space="preserve"> HYPERLINK "https://normativka.by/lib/compare/500213643/rev/2024033100-2022101600" \l "anchor=%D0%9F%D1%80%D0%B8%D0%BB_1" \t "https://normativka.by/api/document/_parent" </w:instrText>
      </w:r>
      <w:r>
        <w:fldChar w:fldCharType="separate"/>
      </w:r>
      <w:r>
        <w:rPr>
          <w:rStyle w:val="6"/>
          <w:b/>
          <w:bCs/>
          <w:color w:val="000000" w:themeColor="text1"/>
          <w:sz w:val="28"/>
          <w:szCs w:val="28"/>
          <w:u w:val="none"/>
          <w:shd w:val="clear" w:color="auto" w:fill="FFFFFF"/>
          <w14:textFill>
            <w14:solidFill>
              <w14:schemeClr w14:val="tx1"/>
            </w14:solidFill>
          </w14:textFill>
        </w:rPr>
        <w:t>приложении 1</w:t>
      </w:r>
      <w:r>
        <w:rPr>
          <w:rStyle w:val="6"/>
          <w:b/>
          <w:bCs/>
          <w:color w:val="000000" w:themeColor="text1"/>
          <w:sz w:val="28"/>
          <w:szCs w:val="28"/>
          <w:u w:val="none"/>
          <w:shd w:val="clear" w:color="auto" w:fill="FFFFFF"/>
          <w14:textFill>
            <w14:solidFill>
              <w14:schemeClr w14:val="tx1"/>
            </w14:solidFill>
          </w14:textFill>
        </w:rPr>
        <w:fldChar w:fldCharType="end"/>
      </w:r>
      <w:r>
        <w:rPr>
          <w:b/>
          <w:bCs/>
          <w:color w:val="000000"/>
          <w:sz w:val="28"/>
          <w:szCs w:val="28"/>
          <w:shd w:val="clear" w:color="auto" w:fill="FFFFFF"/>
        </w:rPr>
        <w:t>, кроме товаров, происходящих из государств – членов Евразийского экономического союза, включенных в</w:t>
      </w:r>
      <w:r>
        <w:rPr>
          <w:b/>
          <w:bCs/>
          <w:color w:val="000000" w:themeColor="text1"/>
          <w:sz w:val="28"/>
          <w:szCs w:val="28"/>
          <w:shd w:val="clear" w:color="auto" w:fill="FFFFFF"/>
          <w14:textFill>
            <w14:solidFill>
              <w14:schemeClr w14:val="tx1"/>
            </w14:solidFill>
          </w14:textFill>
        </w:rPr>
        <w:t> </w:t>
      </w:r>
      <w:r>
        <w:fldChar w:fldCharType="begin"/>
      </w:r>
      <w:r>
        <w:instrText xml:space="preserve"> HYPERLINK "https://normativka.by/lib/compare/500213643/rev/2024033100-2022101600" \l "anchor=%D0%9F%D1%80%D0%B8%D0%BB_2" \t "https://normativka.by/api/document/_parent" </w:instrText>
      </w:r>
      <w:r>
        <w:fldChar w:fldCharType="separate"/>
      </w:r>
      <w:r>
        <w:rPr>
          <w:rStyle w:val="6"/>
          <w:b/>
          <w:bCs/>
          <w:color w:val="000000" w:themeColor="text1"/>
          <w:sz w:val="28"/>
          <w:szCs w:val="28"/>
          <w:u w:val="none"/>
          <w:shd w:val="clear" w:color="auto" w:fill="FFFFFF"/>
          <w14:textFill>
            <w14:solidFill>
              <w14:schemeClr w14:val="tx1"/>
            </w14:solidFill>
          </w14:textFill>
        </w:rPr>
        <w:t>приложение 2</w:t>
      </w:r>
      <w:r>
        <w:rPr>
          <w:rStyle w:val="6"/>
          <w:b/>
          <w:bCs/>
          <w:color w:val="000000" w:themeColor="text1"/>
          <w:sz w:val="28"/>
          <w:szCs w:val="28"/>
          <w:u w:val="none"/>
          <w:shd w:val="clear" w:color="auto" w:fill="FFFFFF"/>
          <w14:textFill>
            <w14:solidFill>
              <w14:schemeClr w14:val="tx1"/>
            </w14:solidFill>
          </w14:textFill>
        </w:rPr>
        <w:fldChar w:fldCharType="end"/>
      </w:r>
      <w:r>
        <w:rPr>
          <w:b/>
          <w:bCs/>
          <w:color w:val="000000" w:themeColor="text1"/>
          <w:sz w:val="28"/>
          <w:szCs w:val="28"/>
          <w:shd w:val="clear" w:color="auto" w:fill="FFFFFF"/>
          <w14:textFill>
            <w14:solidFill>
              <w14:schemeClr w14:val="tx1"/>
            </w14:solidFill>
          </w14:textFill>
        </w:rPr>
        <w:t xml:space="preserve"> к постановлению № 206:</w:t>
      </w:r>
      <w:r>
        <w:rPr>
          <w:b/>
          <w:bCs/>
          <w:color w:val="000000"/>
          <w:sz w:val="28"/>
          <w:szCs w:val="28"/>
          <w:shd w:val="clear" w:color="auto" w:fill="FFFFFF"/>
        </w:rPr>
        <w:t> </w:t>
      </w:r>
    </w:p>
    <w:p>
      <w:pPr>
        <w:keepNext w:val="0"/>
        <w:keepLines w:val="0"/>
        <w:pageBreakBefore w:val="0"/>
        <w:widowControl/>
        <w:tabs>
          <w:tab w:val="left" w:pos="567"/>
        </w:tabs>
        <w:kinsoku/>
        <w:wordWrap/>
        <w:overflowPunct/>
        <w:topLinePunct w:val="0"/>
        <w:autoSpaceDE/>
        <w:autoSpaceDN/>
        <w:bidi w:val="0"/>
        <w:adjustRightInd/>
        <w:snapToGrid/>
        <w:ind w:firstLine="709"/>
        <w:contextualSpacing/>
        <w:jc w:val="both"/>
        <w:textAlignment w:val="auto"/>
        <w:rPr>
          <w:sz w:val="28"/>
          <w:szCs w:val="28"/>
          <w:shd w:val="clear" w:color="auto" w:fill="FFFFFF"/>
        </w:rPr>
      </w:pPr>
      <w:r>
        <w:rPr>
          <w:b/>
          <w:sz w:val="28"/>
          <w:szCs w:val="28"/>
          <w:shd w:val="clear" w:color="auto" w:fill="FFFFFF"/>
        </w:rPr>
        <w:t xml:space="preserve"> </w:t>
      </w:r>
      <w:r>
        <w:rPr>
          <w:sz w:val="28"/>
          <w:szCs w:val="28"/>
          <w:shd w:val="clear" w:color="auto" w:fill="FFFFFF"/>
        </w:rPr>
        <w:t xml:space="preserve">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r>
        <w:rPr>
          <w:rStyle w:val="28"/>
          <w:sz w:val="28"/>
          <w:szCs w:val="28"/>
        </w:rPr>
        <w:t xml:space="preserve">Правилами </w:t>
      </w:r>
      <w:r>
        <w:rPr>
          <w:sz w:val="28"/>
          <w:szCs w:val="28"/>
          <w:shd w:val="clear" w:color="auto" w:fill="FFFFFF"/>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pPr>
        <w:keepNext w:val="0"/>
        <w:keepLines w:val="0"/>
        <w:pageBreakBefore w:val="0"/>
        <w:widowControl/>
        <w:tabs>
          <w:tab w:val="left" w:pos="567"/>
        </w:tabs>
        <w:kinsoku/>
        <w:wordWrap/>
        <w:overflowPunct/>
        <w:topLinePunct w:val="0"/>
        <w:autoSpaceDE/>
        <w:autoSpaceDN/>
        <w:bidi w:val="0"/>
        <w:adjustRightInd/>
        <w:snapToGrid/>
        <w:ind w:firstLine="709"/>
        <w:contextualSpacing/>
        <w:jc w:val="both"/>
        <w:textAlignment w:val="auto"/>
        <w:rPr>
          <w:b/>
          <w:bCs/>
          <w:color w:val="000000" w:themeColor="text1"/>
          <w:sz w:val="28"/>
          <w:szCs w:val="28"/>
          <w14:textFill>
            <w14:solidFill>
              <w14:schemeClr w14:val="tx1"/>
            </w14:solidFill>
          </w14:textFill>
        </w:rPr>
      </w:pPr>
      <w:r>
        <w:rPr>
          <w:b/>
          <w:bCs/>
          <w:color w:val="000000" w:themeColor="text1"/>
          <w:sz w:val="28"/>
          <w:szCs w:val="28"/>
          <w:shd w:val="clear" w:color="auto" w:fill="FFFFFF"/>
          <w14:textFill>
            <w14:solidFill>
              <w14:schemeClr w14:val="tx1"/>
            </w14:solidFill>
          </w14:textFill>
        </w:rPr>
        <w:t xml:space="preserve">2.3. </w:t>
      </w:r>
      <w:r>
        <w:rPr>
          <w:b/>
          <w:bCs/>
          <w:color w:val="000000" w:themeColor="text1"/>
          <w:sz w:val="28"/>
          <w:szCs w:val="28"/>
          <w14:textFill>
            <w14:solidFill>
              <w14:schemeClr w14:val="tx1"/>
            </w14:solidFill>
          </w14:textFill>
        </w:rPr>
        <w:t>для товаров, происходящих из государств–членов Евразийского экономического союза, за исключением происходящих из Республики Беларусь, указанных в приложении 1 к постановлению № 206:</w:t>
      </w:r>
    </w:p>
    <w:p>
      <w:pPr>
        <w:tabs>
          <w:tab w:val="left" w:pos="567"/>
        </w:tabs>
        <w:ind w:firstLine="709"/>
        <w:contextualSpacing/>
        <w:jc w:val="both"/>
        <w:rPr>
          <w:sz w:val="28"/>
          <w:szCs w:val="28"/>
          <w:shd w:val="clear" w:color="auto" w:fill="FFFFFF"/>
        </w:rPr>
      </w:pPr>
      <w:r>
        <w:rPr>
          <w:color w:val="000000" w:themeColor="text1"/>
          <w:sz w:val="28"/>
          <w:szCs w:val="28"/>
          <w14:textFill>
            <w14:solidFill>
              <w14:schemeClr w14:val="tx1"/>
            </w14:solidFill>
          </w14:textFill>
        </w:rPr>
        <w:t> выписка из евразийского реестра промышленных товаров государств – членов Евразийского экономического союза, полученная в соответствии с </w:t>
      </w:r>
      <w:r>
        <w:fldChar w:fldCharType="begin"/>
      </w:r>
      <w:r>
        <w:instrText xml:space="preserve"> HYPERLINK "https://normativka.by/lib/document/500297124/rev/2024033199" \l "anchor=%D0%97%D0%B0%D0%B3_%D0%A3%D1%82%D0%B2_1&amp;point=24" \t "https://normativka.by/api/document/_parent" </w:instrText>
      </w:r>
      <w:r>
        <w:fldChar w:fldCharType="separate"/>
      </w:r>
      <w:r>
        <w:rPr>
          <w:rStyle w:val="6"/>
          <w:color w:val="000000" w:themeColor="text1"/>
          <w:sz w:val="28"/>
          <w:szCs w:val="28"/>
          <w:u w:val="none"/>
          <w14:textFill>
            <w14:solidFill>
              <w14:schemeClr w14:val="tx1"/>
            </w14:solidFill>
          </w14:textFill>
        </w:rPr>
        <w:t>пунктом 24</w:t>
      </w:r>
      <w:r>
        <w:rPr>
          <w:rStyle w:val="6"/>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 Правил определения страны происхождения отдельных видов товаров для целей государственных (муниципальных) закупок, или ее копия.</w:t>
      </w:r>
    </w:p>
    <w:p>
      <w:pPr>
        <w:pStyle w:val="17"/>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Указанные выше документы предоставляются в первом разделе предложения участника.</w:t>
      </w:r>
    </w:p>
    <w:p>
      <w:pPr>
        <w:pStyle w:val="17"/>
        <w:numPr>
          <w:ilvl w:val="0"/>
          <w:numId w:val="5"/>
        </w:numPr>
        <w:spacing w:before="200" w:after="200"/>
        <w:ind w:left="0" w:leftChars="0" w:firstLine="0" w:firstLineChars="0"/>
        <w:contextualSpacing/>
        <w:jc w:val="both"/>
        <w:rPr>
          <w:rFonts w:ascii="Times New Roman" w:hAnsi="Times New Roman" w:cs="Times New Roman"/>
          <w:bCs/>
          <w:sz w:val="28"/>
          <w:szCs w:val="28"/>
        </w:rPr>
      </w:pPr>
      <w:r>
        <w:rPr>
          <w:rFonts w:ascii="Times New Roman" w:hAnsi="Times New Roman" w:cs="Times New Roman"/>
          <w:bCs/>
          <w:sz w:val="28"/>
          <w:szCs w:val="28"/>
        </w:rPr>
        <w:t>В ходе проведения процедуры государственной закупки допускается изменение заказчиком (организатором) объема (количества) предмета государственной закупки и (или) его части (лота) в случаях, установленных законодательством, но не более чем на десять процентов. Не допускается изменение условий проекта договора, за исключением случаев, установленных законодательством.</w:t>
      </w:r>
    </w:p>
    <w:p>
      <w:pPr>
        <w:pStyle w:val="17"/>
        <w:numPr>
          <w:ilvl w:val="0"/>
          <w:numId w:val="0"/>
        </w:numPr>
        <w:spacing w:before="200" w:after="200"/>
        <w:ind w:leftChars="0"/>
        <w:contextualSpacing/>
        <w:jc w:val="both"/>
        <w:rPr>
          <w:rFonts w:ascii="Times New Roman" w:hAnsi="Times New Roman" w:cs="Times New Roman"/>
          <w:bCs/>
          <w:sz w:val="28"/>
          <w:szCs w:val="28"/>
          <w:lang w:val="ru-RU"/>
        </w:rPr>
      </w:pPr>
    </w:p>
    <w:p>
      <w:pPr>
        <w:pStyle w:val="17"/>
        <w:numPr>
          <w:ilvl w:val="0"/>
          <w:numId w:val="0"/>
        </w:numPr>
        <w:spacing w:before="200" w:after="200"/>
        <w:ind w:leftChars="0"/>
        <w:contextualSpacing/>
        <w:jc w:val="both"/>
        <w:rPr>
          <w:color w:val="000000" w:themeColor="text1"/>
          <w:sz w:val="28"/>
          <w:szCs w:val="28"/>
          <w14:textFill>
            <w14:solidFill>
              <w14:schemeClr w14:val="tx1"/>
            </w14:solidFill>
          </w14:textFill>
        </w:rPr>
      </w:pPr>
      <w:r>
        <w:rPr>
          <w:rFonts w:ascii="Times New Roman" w:hAnsi="Times New Roman" w:cs="Times New Roman"/>
          <w:bCs/>
          <w:sz w:val="28"/>
          <w:szCs w:val="28"/>
          <w:lang w:val="ru-RU"/>
        </w:rPr>
        <w:t>Провизор</w:t>
      </w:r>
      <w:r>
        <w:rPr>
          <w:rFonts w:hint="default" w:ascii="Times New Roman" w:hAnsi="Times New Roman" w:cs="Times New Roman"/>
          <w:bCs/>
          <w:sz w:val="28"/>
          <w:szCs w:val="28"/>
          <w:lang w:val="ru-RU"/>
        </w:rPr>
        <w:t>-маркетолог                                                               А.В. Ступакевич</w:t>
      </w: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both"/>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p>
    <w:p>
      <w:pPr>
        <w:autoSpaceDE w:val="0"/>
        <w:autoSpaceDN w:val="0"/>
        <w:adjustRightInd w:val="0"/>
        <w:jc w:val="right"/>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Приложение № </w:t>
      </w:r>
      <w:r>
        <w:rPr>
          <w:rFonts w:hint="default"/>
          <w:color w:val="000000" w:themeColor="text1"/>
          <w:sz w:val="28"/>
          <w:szCs w:val="28"/>
          <w:lang w:val="ru-RU"/>
          <w14:textFill>
            <w14:solidFill>
              <w14:schemeClr w14:val="tx1"/>
            </w14:solidFill>
          </w14:textFill>
        </w:rPr>
        <w:t>5</w:t>
      </w:r>
    </w:p>
    <w:p>
      <w:pPr>
        <w:autoSpaceDE w:val="0"/>
        <w:autoSpaceDN w:val="0"/>
        <w:adjustRightInd w:val="0"/>
        <w:jc w:val="right"/>
        <w:rPr>
          <w:color w:val="FF0000"/>
          <w:sz w:val="28"/>
          <w:szCs w:val="28"/>
        </w:rPr>
      </w:pPr>
      <w:bookmarkStart w:id="4" w:name="_GoBack"/>
      <w:bookmarkEnd w:id="4"/>
    </w:p>
    <w:p>
      <w:pPr>
        <w:autoSpaceDE w:val="0"/>
        <w:autoSpaceDN w:val="0"/>
        <w:adjustRightInd w:val="0"/>
        <w:ind w:left="5664" w:firstLine="708"/>
        <w:jc w:val="both"/>
        <w:rPr>
          <w:sz w:val="28"/>
          <w:szCs w:val="28"/>
        </w:rPr>
      </w:pPr>
      <w:r>
        <w:rPr>
          <w:sz w:val="28"/>
          <w:szCs w:val="28"/>
        </w:rPr>
        <w:t>________________</w:t>
      </w:r>
    </w:p>
    <w:p>
      <w:pPr>
        <w:autoSpaceDE w:val="0"/>
        <w:autoSpaceDN w:val="0"/>
        <w:adjustRightInd w:val="0"/>
        <w:ind w:left="6372" w:firstLine="709"/>
        <w:jc w:val="both"/>
        <w:rPr>
          <w:i/>
          <w:sz w:val="28"/>
          <w:szCs w:val="28"/>
          <w:vertAlign w:val="subscript"/>
        </w:rPr>
      </w:pPr>
      <w:r>
        <w:rPr>
          <w:sz w:val="28"/>
          <w:szCs w:val="28"/>
        </w:rPr>
        <w:t xml:space="preserve"> </w:t>
      </w:r>
      <w:r>
        <w:rPr>
          <w:i/>
          <w:sz w:val="28"/>
          <w:szCs w:val="28"/>
          <w:vertAlign w:val="subscript"/>
        </w:rPr>
        <w:t>(кому)</w:t>
      </w:r>
    </w:p>
    <w:p>
      <w:pPr>
        <w:autoSpaceDE w:val="0"/>
        <w:autoSpaceDN w:val="0"/>
        <w:adjustRightInd w:val="0"/>
        <w:ind w:left="6372"/>
        <w:jc w:val="both"/>
        <w:rPr>
          <w:sz w:val="28"/>
          <w:szCs w:val="28"/>
        </w:rPr>
      </w:pPr>
      <w:r>
        <w:rPr>
          <w:i/>
          <w:sz w:val="28"/>
          <w:szCs w:val="28"/>
          <w:vertAlign w:val="subscript"/>
        </w:rPr>
        <w:t>_</w:t>
      </w:r>
      <w:r>
        <w:rPr>
          <w:sz w:val="28"/>
          <w:szCs w:val="28"/>
          <w:vertAlign w:val="subscript"/>
        </w:rPr>
        <w:t>____________</w:t>
      </w:r>
      <w:r>
        <w:rPr>
          <w:i/>
          <w:sz w:val="28"/>
          <w:szCs w:val="28"/>
          <w:vertAlign w:val="subscript"/>
        </w:rPr>
        <w:t>____________</w:t>
      </w:r>
      <w:r>
        <w:rPr>
          <w:i/>
          <w:color w:val="000000"/>
          <w:sz w:val="28"/>
          <w:szCs w:val="28"/>
          <w:vertAlign w:val="subscript"/>
        </w:rPr>
        <w:t>_________</w:t>
      </w:r>
      <w:r>
        <w:rPr>
          <w:sz w:val="28"/>
          <w:szCs w:val="28"/>
        </w:rPr>
        <w:t>_______________</w:t>
      </w:r>
    </w:p>
    <w:p>
      <w:pPr>
        <w:autoSpaceDE w:val="0"/>
        <w:autoSpaceDN w:val="0"/>
        <w:adjustRightInd w:val="0"/>
        <w:ind w:left="5664" w:firstLine="708"/>
        <w:jc w:val="both"/>
        <w:rPr>
          <w:i/>
          <w:sz w:val="28"/>
          <w:szCs w:val="28"/>
          <w:vertAlign w:val="subscript"/>
        </w:rPr>
      </w:pPr>
      <w:r>
        <w:rPr>
          <w:i/>
          <w:sz w:val="28"/>
          <w:szCs w:val="28"/>
          <w:vertAlign w:val="subscript"/>
        </w:rPr>
        <w:t xml:space="preserve"> (наименование организации)</w:t>
      </w:r>
    </w:p>
    <w:p>
      <w:pPr>
        <w:autoSpaceDE w:val="0"/>
        <w:autoSpaceDN w:val="0"/>
        <w:adjustRightInd w:val="0"/>
        <w:ind w:left="5664" w:firstLine="708"/>
        <w:jc w:val="both"/>
        <w:rPr>
          <w:i/>
          <w:sz w:val="28"/>
          <w:szCs w:val="28"/>
          <w:vertAlign w:val="subscript"/>
        </w:rPr>
      </w:pPr>
    </w:p>
    <w:p>
      <w:pPr>
        <w:autoSpaceDE w:val="0"/>
        <w:autoSpaceDN w:val="0"/>
        <w:adjustRightInd w:val="0"/>
        <w:jc w:val="right"/>
        <w:rPr>
          <w:color w:val="FF0000"/>
          <w:sz w:val="28"/>
          <w:szCs w:val="28"/>
        </w:rPr>
      </w:pPr>
    </w:p>
    <w:p>
      <w:pPr>
        <w:autoSpaceDE w:val="0"/>
        <w:autoSpaceDN w:val="0"/>
        <w:adjustRightInd w:val="0"/>
        <w:jc w:val="both"/>
        <w:rPr>
          <w:sz w:val="28"/>
          <w:szCs w:val="28"/>
        </w:rPr>
      </w:pPr>
    </w:p>
    <w:p>
      <w:pPr>
        <w:autoSpaceDE w:val="0"/>
        <w:autoSpaceDN w:val="0"/>
        <w:adjustRightInd w:val="0"/>
        <w:ind w:firstLine="709"/>
        <w:jc w:val="both"/>
        <w:rPr>
          <w:sz w:val="28"/>
          <w:szCs w:val="28"/>
        </w:rPr>
      </w:pPr>
    </w:p>
    <w:p>
      <w:pPr>
        <w:ind w:firstLine="709"/>
        <w:jc w:val="both"/>
        <w:rPr>
          <w:b/>
          <w:i/>
          <w:sz w:val="28"/>
          <w:szCs w:val="28"/>
        </w:rPr>
      </w:pPr>
    </w:p>
    <w:p>
      <w:pPr>
        <w:jc w:val="center"/>
        <w:rPr>
          <w:color w:val="000000"/>
          <w:sz w:val="28"/>
          <w:szCs w:val="28"/>
        </w:rPr>
      </w:pPr>
      <w:r>
        <w:rPr>
          <w:color w:val="000000"/>
          <w:sz w:val="28"/>
          <w:szCs w:val="28"/>
        </w:rPr>
        <w:t>ЗАЯВЛЕНИЕ</w:t>
      </w:r>
    </w:p>
    <w:p>
      <w:pPr>
        <w:jc w:val="both"/>
        <w:rPr>
          <w:color w:val="000000"/>
          <w:sz w:val="28"/>
          <w:szCs w:val="28"/>
        </w:rPr>
      </w:pPr>
      <w:r>
        <w:rPr>
          <w:sz w:val="28"/>
          <w:szCs w:val="28"/>
        </w:rPr>
        <w:t xml:space="preserve">Участник </w:t>
      </w:r>
      <w:r>
        <w:rPr>
          <w:color w:val="000000"/>
          <w:sz w:val="28"/>
          <w:szCs w:val="28"/>
        </w:rPr>
        <w:t xml:space="preserve">__________________________________________________________________ </w:t>
      </w:r>
    </w:p>
    <w:p>
      <w:pPr>
        <w:widowControl w:val="0"/>
        <w:ind w:firstLine="567"/>
        <w:jc w:val="center"/>
        <w:rPr>
          <w:i/>
          <w:color w:val="000000"/>
          <w:sz w:val="22"/>
          <w:szCs w:val="22"/>
        </w:rPr>
      </w:pPr>
      <w:r>
        <w:rPr>
          <w:color w:val="000000"/>
          <w:sz w:val="22"/>
          <w:szCs w:val="22"/>
        </w:rPr>
        <w:t>(</w:t>
      </w:r>
      <w:r>
        <w:rPr>
          <w:i/>
          <w:color w:val="000000"/>
          <w:sz w:val="22"/>
          <w:szCs w:val="22"/>
        </w:rPr>
        <w:t>наименование организации, (ФИО – для физического лица, в том числе индивидуального предпринимателя))</w:t>
      </w:r>
    </w:p>
    <w:p>
      <w:pPr>
        <w:ind w:firstLine="708"/>
        <w:jc w:val="both"/>
        <w:rPr>
          <w:sz w:val="28"/>
          <w:szCs w:val="28"/>
        </w:rPr>
      </w:pPr>
      <w:r>
        <w:rPr>
          <w:sz w:val="28"/>
          <w:szCs w:val="28"/>
        </w:rPr>
        <w:t xml:space="preserve"> заявляет о том, что последней отчетной датой, предшествующей дню подачи предложения является _____________________.</w:t>
      </w:r>
    </w:p>
    <w:p>
      <w:pPr>
        <w:ind w:left="3600" w:firstLine="720"/>
        <w:rPr>
          <w:i/>
          <w:sz w:val="22"/>
          <w:szCs w:val="22"/>
        </w:rPr>
      </w:pPr>
      <w:r>
        <w:rPr>
          <w:i/>
          <w:sz w:val="22"/>
          <w:szCs w:val="22"/>
        </w:rPr>
        <w:t>(указать дату)</w:t>
      </w:r>
    </w:p>
    <w:p>
      <w:pPr>
        <w:ind w:firstLine="709"/>
        <w:jc w:val="both"/>
        <w:rPr>
          <w:sz w:val="28"/>
          <w:szCs w:val="28"/>
        </w:rPr>
      </w:pPr>
      <w:r>
        <w:rPr>
          <w:b/>
          <w:sz w:val="28"/>
          <w:szCs w:val="28"/>
        </w:rPr>
        <w:t xml:space="preserve">«___» __________ </w:t>
      </w:r>
      <w:r>
        <w:rPr>
          <w:sz w:val="28"/>
          <w:szCs w:val="28"/>
        </w:rPr>
        <w:t xml:space="preserve">20___г. </w:t>
      </w:r>
    </w:p>
    <w:p>
      <w:pPr>
        <w:ind w:firstLine="709"/>
        <w:jc w:val="both"/>
        <w:rPr>
          <w:i/>
          <w:sz w:val="22"/>
          <w:szCs w:val="22"/>
        </w:rPr>
      </w:pPr>
      <w:r>
        <w:rPr>
          <w:i/>
          <w:sz w:val="22"/>
          <w:szCs w:val="22"/>
        </w:rPr>
        <w:t>(дата подготовки заявления)</w:t>
      </w:r>
    </w:p>
    <w:p>
      <w:pPr>
        <w:ind w:firstLine="708"/>
        <w:rPr>
          <w:i/>
          <w:sz w:val="22"/>
          <w:szCs w:val="22"/>
        </w:rPr>
      </w:pPr>
    </w:p>
    <w:p>
      <w:pPr>
        <w:ind w:firstLine="709"/>
        <w:jc w:val="both"/>
        <w:rPr>
          <w:b/>
          <w:i/>
          <w:sz w:val="28"/>
          <w:szCs w:val="28"/>
        </w:rPr>
      </w:pPr>
      <w:r>
        <w:rPr>
          <w:b/>
          <w:i/>
          <w:sz w:val="28"/>
          <w:szCs w:val="28"/>
        </w:rPr>
        <w:t>Примечание:</w:t>
      </w:r>
    </w:p>
    <w:p>
      <w:pPr>
        <w:ind w:firstLine="709"/>
        <w:jc w:val="both"/>
        <w:rPr>
          <w:b/>
          <w:i/>
          <w:sz w:val="28"/>
          <w:szCs w:val="28"/>
        </w:rPr>
      </w:pPr>
    </w:p>
    <w:p>
      <w:pPr>
        <w:ind w:firstLine="709"/>
        <w:jc w:val="both"/>
        <w:rPr>
          <w:b/>
          <w:i/>
          <w:sz w:val="28"/>
          <w:szCs w:val="28"/>
        </w:rPr>
      </w:pPr>
      <w:r>
        <w:rPr>
          <w:b/>
          <w:i/>
          <w:sz w:val="28"/>
          <w:szCs w:val="28"/>
        </w:rPr>
        <w:t>Данное заявление заполняется и подписывается электронной цифровой подписью</w:t>
      </w:r>
      <w:r>
        <w:rPr>
          <w:b/>
          <w:sz w:val="28"/>
          <w:szCs w:val="28"/>
        </w:rPr>
        <w:t xml:space="preserve"> </w:t>
      </w:r>
      <w:r>
        <w:rPr>
          <w:b/>
          <w:i/>
          <w:sz w:val="28"/>
          <w:szCs w:val="28"/>
        </w:rPr>
        <w:t xml:space="preserve">участника. </w:t>
      </w:r>
    </w:p>
    <w:p>
      <w:pPr>
        <w:ind w:firstLine="708"/>
        <w:rPr>
          <w:i/>
          <w:sz w:val="28"/>
          <w:szCs w:val="28"/>
        </w:rPr>
      </w:pPr>
    </w:p>
    <w:p>
      <w:pPr>
        <w:ind w:firstLine="708"/>
        <w:rPr>
          <w:i/>
          <w:sz w:val="28"/>
          <w:szCs w:val="28"/>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right"/>
        <w:rPr>
          <w:color w:val="8FAADC" w:themeColor="accent1" w:themeTint="99"/>
          <w:sz w:val="28"/>
          <w:szCs w:val="28"/>
          <w14:textFill>
            <w14:solidFill>
              <w14:schemeClr w14:val="accent1">
                <w14:lumMod w14:val="60000"/>
                <w14:lumOff w14:val="40000"/>
              </w14:schemeClr>
            </w14:solidFill>
          </w14:textFill>
        </w:rPr>
      </w:pPr>
    </w:p>
    <w:p>
      <w:pPr>
        <w:autoSpaceDE w:val="0"/>
        <w:autoSpaceDN w:val="0"/>
        <w:adjustRightInd w:val="0"/>
        <w:jc w:val="both"/>
        <w:rPr>
          <w:color w:val="000000" w:themeColor="text1"/>
          <w:sz w:val="28"/>
          <w:szCs w:val="28"/>
          <w14:textFill>
            <w14:solidFill>
              <w14:schemeClr w14:val="tx1"/>
            </w14:solidFill>
          </w14:textFill>
        </w:rPr>
      </w:pPr>
    </w:p>
    <w:p>
      <w:pPr>
        <w:autoSpaceDE w:val="0"/>
        <w:autoSpaceDN w:val="0"/>
        <w:adjustRightInd w:val="0"/>
        <w:jc w:val="right"/>
        <w:rPr>
          <w:rFonts w:hint="default"/>
          <w:color w:val="000000" w:themeColor="text1"/>
          <w:sz w:val="28"/>
          <w:szCs w:val="28"/>
          <w:lang w:val="ru-RU"/>
          <w14:textFill>
            <w14:solidFill>
              <w14:schemeClr w14:val="tx1"/>
            </w14:solidFill>
          </w14:textFill>
        </w:rPr>
      </w:pPr>
      <w:r>
        <w:rPr>
          <w:color w:val="000000" w:themeColor="text1"/>
          <w:sz w:val="28"/>
          <w:szCs w:val="28"/>
          <w14:textFill>
            <w14:solidFill>
              <w14:schemeClr w14:val="tx1"/>
            </w14:solidFill>
          </w14:textFill>
        </w:rPr>
        <w:t xml:space="preserve">Приложение № </w:t>
      </w:r>
      <w:r>
        <w:rPr>
          <w:rFonts w:hint="default"/>
          <w:color w:val="000000" w:themeColor="text1"/>
          <w:sz w:val="28"/>
          <w:szCs w:val="28"/>
          <w:lang w:val="ru-RU"/>
          <w14:textFill>
            <w14:solidFill>
              <w14:schemeClr w14:val="tx1"/>
            </w14:solidFill>
          </w14:textFill>
        </w:rPr>
        <w:t>3</w:t>
      </w:r>
    </w:p>
    <w:p>
      <w:pPr>
        <w:autoSpaceDE w:val="0"/>
        <w:autoSpaceDN w:val="0"/>
        <w:adjustRightInd w:val="0"/>
        <w:jc w:val="right"/>
        <w:rPr>
          <w:color w:val="FF0000"/>
          <w:sz w:val="28"/>
          <w:szCs w:val="28"/>
        </w:rPr>
      </w:pPr>
    </w:p>
    <w:p>
      <w:pPr>
        <w:autoSpaceDE w:val="0"/>
        <w:autoSpaceDN w:val="0"/>
        <w:adjustRightInd w:val="0"/>
        <w:ind w:left="5664" w:firstLine="708"/>
        <w:jc w:val="both"/>
        <w:rPr>
          <w:sz w:val="28"/>
          <w:szCs w:val="28"/>
        </w:rPr>
      </w:pPr>
      <w:r>
        <w:rPr>
          <w:sz w:val="28"/>
          <w:szCs w:val="28"/>
        </w:rPr>
        <w:t>________________</w:t>
      </w:r>
    </w:p>
    <w:p>
      <w:pPr>
        <w:autoSpaceDE w:val="0"/>
        <w:autoSpaceDN w:val="0"/>
        <w:adjustRightInd w:val="0"/>
        <w:ind w:left="6372" w:firstLine="709"/>
        <w:jc w:val="both"/>
        <w:rPr>
          <w:i/>
          <w:sz w:val="28"/>
          <w:szCs w:val="28"/>
          <w:vertAlign w:val="subscript"/>
        </w:rPr>
      </w:pPr>
      <w:r>
        <w:rPr>
          <w:sz w:val="28"/>
          <w:szCs w:val="28"/>
        </w:rPr>
        <w:t xml:space="preserve"> </w:t>
      </w:r>
      <w:r>
        <w:rPr>
          <w:i/>
          <w:sz w:val="28"/>
          <w:szCs w:val="28"/>
          <w:vertAlign w:val="subscript"/>
        </w:rPr>
        <w:t>(кому)</w:t>
      </w:r>
    </w:p>
    <w:p>
      <w:pPr>
        <w:autoSpaceDE w:val="0"/>
        <w:autoSpaceDN w:val="0"/>
        <w:adjustRightInd w:val="0"/>
        <w:ind w:left="6372"/>
        <w:jc w:val="both"/>
        <w:rPr>
          <w:sz w:val="28"/>
          <w:szCs w:val="28"/>
        </w:rPr>
      </w:pPr>
      <w:r>
        <w:rPr>
          <w:i/>
          <w:sz w:val="28"/>
          <w:szCs w:val="28"/>
          <w:vertAlign w:val="subscript"/>
        </w:rPr>
        <w:t>_</w:t>
      </w:r>
      <w:r>
        <w:rPr>
          <w:sz w:val="28"/>
          <w:szCs w:val="28"/>
          <w:vertAlign w:val="subscript"/>
        </w:rPr>
        <w:t>____________</w:t>
      </w:r>
      <w:r>
        <w:rPr>
          <w:i/>
          <w:sz w:val="28"/>
          <w:szCs w:val="28"/>
          <w:vertAlign w:val="subscript"/>
        </w:rPr>
        <w:t>____________</w:t>
      </w:r>
      <w:r>
        <w:rPr>
          <w:i/>
          <w:color w:val="000000"/>
          <w:sz w:val="28"/>
          <w:szCs w:val="28"/>
          <w:vertAlign w:val="subscript"/>
        </w:rPr>
        <w:t>_________</w:t>
      </w:r>
      <w:r>
        <w:rPr>
          <w:sz w:val="28"/>
          <w:szCs w:val="28"/>
        </w:rPr>
        <w:t>_______________</w:t>
      </w:r>
    </w:p>
    <w:p>
      <w:pPr>
        <w:autoSpaceDE w:val="0"/>
        <w:autoSpaceDN w:val="0"/>
        <w:adjustRightInd w:val="0"/>
        <w:ind w:left="5664" w:firstLine="708"/>
        <w:jc w:val="both"/>
        <w:rPr>
          <w:i/>
          <w:sz w:val="28"/>
          <w:szCs w:val="28"/>
          <w:vertAlign w:val="subscript"/>
        </w:rPr>
      </w:pPr>
      <w:r>
        <w:rPr>
          <w:i/>
          <w:sz w:val="28"/>
          <w:szCs w:val="28"/>
          <w:vertAlign w:val="subscript"/>
        </w:rPr>
        <w:t xml:space="preserve"> (наименование организации)</w:t>
      </w:r>
    </w:p>
    <w:p>
      <w:pPr>
        <w:jc w:val="center"/>
        <w:rPr>
          <w:color w:val="000000"/>
          <w:sz w:val="28"/>
          <w:szCs w:val="28"/>
        </w:rPr>
      </w:pPr>
      <w:r>
        <w:rPr>
          <w:color w:val="000000"/>
          <w:sz w:val="28"/>
          <w:szCs w:val="28"/>
        </w:rPr>
        <w:t>ЗАЯВЛЕНИЕ</w:t>
      </w:r>
    </w:p>
    <w:p/>
    <w:p>
      <w:pPr>
        <w:ind w:firstLine="900"/>
        <w:jc w:val="both"/>
      </w:pPr>
      <w:r>
        <w:t>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w:t>
      </w:r>
      <w:r>
        <w:rPr>
          <w:rFonts w:hint="default"/>
          <w:lang w:val="ru-RU"/>
        </w:rPr>
        <w:t xml:space="preserve"> 1</w:t>
      </w:r>
      <w:r>
        <w:t xml:space="preserve"> к постановлению Совета Министров Республики Беларусь от 17.03.2016 № 206, является </w:t>
      </w:r>
      <w:r>
        <w:rPr>
          <w:b/>
          <w:bCs/>
        </w:rPr>
        <w:t xml:space="preserve">Республика Армения, Республика Беларусь, Республика Казахстан, Кыргызская Республика и (или) Российская Федерация </w:t>
      </w:r>
      <w:r>
        <w:rPr>
          <w:i/>
          <w:iCs/>
        </w:rPr>
        <w:t>(оставить нужное)</w:t>
      </w:r>
      <w:r>
        <w:t>, а также информирует о  наличии документа, подтверждающего страну происхождения данного товара.</w:t>
      </w:r>
    </w:p>
    <w:p>
      <w:pPr>
        <w:ind w:firstLine="900"/>
        <w:jc w:val="both"/>
      </w:pPr>
    </w:p>
    <w:p>
      <w:pPr>
        <w:ind w:firstLine="709"/>
        <w:jc w:val="both"/>
        <w:rPr>
          <w:sz w:val="28"/>
          <w:szCs w:val="28"/>
        </w:rPr>
      </w:pPr>
      <w:r>
        <w:rPr>
          <w:b/>
          <w:sz w:val="28"/>
          <w:szCs w:val="28"/>
        </w:rPr>
        <w:t xml:space="preserve">«___» __________ </w:t>
      </w:r>
      <w:r>
        <w:rPr>
          <w:sz w:val="28"/>
          <w:szCs w:val="28"/>
        </w:rPr>
        <w:t xml:space="preserve">20___г. </w:t>
      </w:r>
    </w:p>
    <w:p>
      <w:pPr>
        <w:ind w:firstLine="709"/>
        <w:jc w:val="both"/>
        <w:rPr>
          <w:i/>
          <w:sz w:val="22"/>
          <w:szCs w:val="22"/>
        </w:rPr>
      </w:pPr>
      <w:r>
        <w:rPr>
          <w:i/>
          <w:sz w:val="22"/>
          <w:szCs w:val="22"/>
        </w:rPr>
        <w:t>(дата подготовки заявления)</w:t>
      </w:r>
    </w:p>
    <w:p>
      <w:pPr>
        <w:ind w:firstLine="708"/>
        <w:rPr>
          <w:i/>
          <w:sz w:val="22"/>
          <w:szCs w:val="22"/>
        </w:rPr>
      </w:pPr>
    </w:p>
    <w:p>
      <w:pPr>
        <w:ind w:firstLine="709"/>
        <w:jc w:val="both"/>
        <w:rPr>
          <w:b/>
          <w:i/>
          <w:sz w:val="28"/>
          <w:szCs w:val="28"/>
        </w:rPr>
      </w:pPr>
      <w:r>
        <w:rPr>
          <w:b/>
          <w:i/>
          <w:sz w:val="28"/>
          <w:szCs w:val="28"/>
        </w:rPr>
        <w:t>Примечание:</w:t>
      </w:r>
    </w:p>
    <w:p>
      <w:pPr>
        <w:ind w:firstLine="709"/>
        <w:jc w:val="both"/>
        <w:rPr>
          <w:b/>
          <w:i/>
          <w:sz w:val="28"/>
          <w:szCs w:val="28"/>
        </w:rPr>
      </w:pPr>
    </w:p>
    <w:p>
      <w:pPr>
        <w:ind w:firstLine="709"/>
        <w:jc w:val="both"/>
        <w:rPr>
          <w:b/>
          <w:i/>
          <w:sz w:val="28"/>
          <w:szCs w:val="28"/>
        </w:rPr>
      </w:pPr>
      <w:r>
        <w:rPr>
          <w:b/>
          <w:i/>
          <w:sz w:val="28"/>
          <w:szCs w:val="28"/>
        </w:rPr>
        <w:t>Данное заявление заполняется и подписывается электронной цифровой подписью</w:t>
      </w:r>
      <w:r>
        <w:rPr>
          <w:b/>
          <w:sz w:val="28"/>
          <w:szCs w:val="28"/>
        </w:rPr>
        <w:t xml:space="preserve"> </w:t>
      </w:r>
      <w:r>
        <w:rPr>
          <w:b/>
          <w:i/>
          <w:sz w:val="28"/>
          <w:szCs w:val="28"/>
        </w:rPr>
        <w:t xml:space="preserve">участника. </w:t>
      </w:r>
    </w:p>
    <w:p>
      <w:pPr>
        <w:ind w:firstLine="900"/>
        <w:jc w:val="both"/>
      </w:pPr>
    </w:p>
    <w:p>
      <w:pPr>
        <w:autoSpaceDE w:val="0"/>
        <w:autoSpaceDN w:val="0"/>
        <w:adjustRightInd w:val="0"/>
        <w:ind w:left="6372" w:firstLine="709"/>
        <w:jc w:val="both"/>
        <w:rPr>
          <w:sz w:val="28"/>
          <w:szCs w:val="28"/>
        </w:rPr>
      </w:pPr>
    </w:p>
    <w:sectPr>
      <w:footerReference r:id="rId5" w:type="default"/>
      <w:pgSz w:w="11905" w:h="16838"/>
      <w:pgMar w:top="1134" w:right="850" w:bottom="1134" w:left="1701"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p>
    <w:pPr>
      <w:pStyle w:val="11"/>
    </w:pPr>
  </w:p>
  <w:p>
    <w:pPr>
      <w:pStyle w:val="11"/>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0B8973"/>
    <w:multiLevelType w:val="singleLevel"/>
    <w:tmpl w:val="8E0B8973"/>
    <w:lvl w:ilvl="0" w:tentative="0">
      <w:start w:val="1"/>
      <w:numFmt w:val="decimal"/>
      <w:suff w:val="space"/>
      <w:lvlText w:val="%1."/>
      <w:lvlJc w:val="left"/>
    </w:lvl>
  </w:abstractNum>
  <w:abstractNum w:abstractNumId="1">
    <w:nsid w:val="8E8A4AFC"/>
    <w:multiLevelType w:val="singleLevel"/>
    <w:tmpl w:val="8E8A4AFC"/>
    <w:lvl w:ilvl="0" w:tentative="0">
      <w:start w:val="1"/>
      <w:numFmt w:val="decimal"/>
      <w:suff w:val="space"/>
      <w:lvlText w:val="%1."/>
      <w:lvlJc w:val="left"/>
    </w:lvl>
  </w:abstractNum>
  <w:abstractNum w:abstractNumId="2">
    <w:nsid w:val="C6B6C917"/>
    <w:multiLevelType w:val="singleLevel"/>
    <w:tmpl w:val="C6B6C917"/>
    <w:lvl w:ilvl="0" w:tentative="0">
      <w:start w:val="1"/>
      <w:numFmt w:val="decimal"/>
      <w:suff w:val="space"/>
      <w:lvlText w:val="%1."/>
      <w:lvlJc w:val="left"/>
    </w:lvl>
  </w:abstractNum>
  <w:abstractNum w:abstractNumId="3">
    <w:nsid w:val="2F3F414E"/>
    <w:multiLevelType w:val="multilevel"/>
    <w:tmpl w:val="2F3F414E"/>
    <w:lvl w:ilvl="0" w:tentative="0">
      <w:start w:val="3"/>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56CAAA7E"/>
    <w:multiLevelType w:val="singleLevel"/>
    <w:tmpl w:val="56CAAA7E"/>
    <w:lvl w:ilvl="0" w:tentative="0">
      <w:start w:val="4"/>
      <w:numFmt w:val="decimal"/>
      <w:suff w:val="space"/>
      <w:lvlText w:val="%1."/>
      <w:lvlJc w:val="left"/>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3A8"/>
    <w:rsid w:val="00002216"/>
    <w:rsid w:val="00006020"/>
    <w:rsid w:val="00012DF7"/>
    <w:rsid w:val="000152EA"/>
    <w:rsid w:val="000167C2"/>
    <w:rsid w:val="0002178E"/>
    <w:rsid w:val="00024D72"/>
    <w:rsid w:val="00025FB5"/>
    <w:rsid w:val="000333EA"/>
    <w:rsid w:val="000376B1"/>
    <w:rsid w:val="000430BD"/>
    <w:rsid w:val="00051108"/>
    <w:rsid w:val="0005405B"/>
    <w:rsid w:val="00063887"/>
    <w:rsid w:val="00065AAF"/>
    <w:rsid w:val="000667FD"/>
    <w:rsid w:val="00066D59"/>
    <w:rsid w:val="00066DF2"/>
    <w:rsid w:val="00070BB2"/>
    <w:rsid w:val="0008109D"/>
    <w:rsid w:val="00084C40"/>
    <w:rsid w:val="0009276C"/>
    <w:rsid w:val="0009306A"/>
    <w:rsid w:val="000973F2"/>
    <w:rsid w:val="000A046A"/>
    <w:rsid w:val="000B2D9E"/>
    <w:rsid w:val="000B62FC"/>
    <w:rsid w:val="000C0E71"/>
    <w:rsid w:val="000C12F1"/>
    <w:rsid w:val="000C32BF"/>
    <w:rsid w:val="000C6442"/>
    <w:rsid w:val="000D1763"/>
    <w:rsid w:val="000D49FA"/>
    <w:rsid w:val="000E075C"/>
    <w:rsid w:val="000E0B14"/>
    <w:rsid w:val="000E1521"/>
    <w:rsid w:val="000F5534"/>
    <w:rsid w:val="001055F2"/>
    <w:rsid w:val="00106162"/>
    <w:rsid w:val="00114E78"/>
    <w:rsid w:val="00126B82"/>
    <w:rsid w:val="00136FA9"/>
    <w:rsid w:val="00137672"/>
    <w:rsid w:val="001402EB"/>
    <w:rsid w:val="00143794"/>
    <w:rsid w:val="00144054"/>
    <w:rsid w:val="001469B0"/>
    <w:rsid w:val="001559A6"/>
    <w:rsid w:val="00155F53"/>
    <w:rsid w:val="0015655F"/>
    <w:rsid w:val="00163909"/>
    <w:rsid w:val="0016411B"/>
    <w:rsid w:val="00164F3D"/>
    <w:rsid w:val="001710E9"/>
    <w:rsid w:val="0018294D"/>
    <w:rsid w:val="00184DA9"/>
    <w:rsid w:val="00185651"/>
    <w:rsid w:val="00185B6C"/>
    <w:rsid w:val="00186DDC"/>
    <w:rsid w:val="00191A51"/>
    <w:rsid w:val="0019737D"/>
    <w:rsid w:val="001A602F"/>
    <w:rsid w:val="001B1BC5"/>
    <w:rsid w:val="001B2234"/>
    <w:rsid w:val="001C117C"/>
    <w:rsid w:val="001C2DDF"/>
    <w:rsid w:val="001C3303"/>
    <w:rsid w:val="001C345C"/>
    <w:rsid w:val="001C581E"/>
    <w:rsid w:val="001C5B51"/>
    <w:rsid w:val="001C6EAB"/>
    <w:rsid w:val="001D0B4E"/>
    <w:rsid w:val="001D23D3"/>
    <w:rsid w:val="001D3760"/>
    <w:rsid w:val="001D3989"/>
    <w:rsid w:val="001D3AC1"/>
    <w:rsid w:val="001D6B35"/>
    <w:rsid w:val="001E08C8"/>
    <w:rsid w:val="00202668"/>
    <w:rsid w:val="00204926"/>
    <w:rsid w:val="00207C51"/>
    <w:rsid w:val="00207DFA"/>
    <w:rsid w:val="00222834"/>
    <w:rsid w:val="00235894"/>
    <w:rsid w:val="00243148"/>
    <w:rsid w:val="0025562A"/>
    <w:rsid w:val="002620E4"/>
    <w:rsid w:val="00271067"/>
    <w:rsid w:val="00272A1F"/>
    <w:rsid w:val="00274804"/>
    <w:rsid w:val="002774E8"/>
    <w:rsid w:val="00286C85"/>
    <w:rsid w:val="00295CAA"/>
    <w:rsid w:val="002976CC"/>
    <w:rsid w:val="002A223D"/>
    <w:rsid w:val="002A2E6B"/>
    <w:rsid w:val="002A62E8"/>
    <w:rsid w:val="002B18F3"/>
    <w:rsid w:val="002B3E61"/>
    <w:rsid w:val="002B50EF"/>
    <w:rsid w:val="002B5FE4"/>
    <w:rsid w:val="002B6D6A"/>
    <w:rsid w:val="002C7039"/>
    <w:rsid w:val="002C74B2"/>
    <w:rsid w:val="002D187F"/>
    <w:rsid w:val="002D45BF"/>
    <w:rsid w:val="002E2DC9"/>
    <w:rsid w:val="002E411E"/>
    <w:rsid w:val="002E78B9"/>
    <w:rsid w:val="003102F2"/>
    <w:rsid w:val="003156EA"/>
    <w:rsid w:val="003167CD"/>
    <w:rsid w:val="00331813"/>
    <w:rsid w:val="00331DC2"/>
    <w:rsid w:val="00333CEF"/>
    <w:rsid w:val="00342FD3"/>
    <w:rsid w:val="00343276"/>
    <w:rsid w:val="00363048"/>
    <w:rsid w:val="0036749B"/>
    <w:rsid w:val="00371489"/>
    <w:rsid w:val="0037309D"/>
    <w:rsid w:val="0037371A"/>
    <w:rsid w:val="003744AB"/>
    <w:rsid w:val="0038502B"/>
    <w:rsid w:val="003850CB"/>
    <w:rsid w:val="003869C5"/>
    <w:rsid w:val="00391424"/>
    <w:rsid w:val="003964DF"/>
    <w:rsid w:val="003B44D2"/>
    <w:rsid w:val="003C0320"/>
    <w:rsid w:val="003C0A8E"/>
    <w:rsid w:val="003D34EC"/>
    <w:rsid w:val="003E3406"/>
    <w:rsid w:val="003F064A"/>
    <w:rsid w:val="003F407E"/>
    <w:rsid w:val="003F5FCC"/>
    <w:rsid w:val="004027FE"/>
    <w:rsid w:val="00403C23"/>
    <w:rsid w:val="00404A7B"/>
    <w:rsid w:val="004175A7"/>
    <w:rsid w:val="00421B0A"/>
    <w:rsid w:val="00421EA9"/>
    <w:rsid w:val="00423A10"/>
    <w:rsid w:val="00425412"/>
    <w:rsid w:val="00431E0D"/>
    <w:rsid w:val="004338E7"/>
    <w:rsid w:val="00433DAD"/>
    <w:rsid w:val="00445E7A"/>
    <w:rsid w:val="0045023E"/>
    <w:rsid w:val="00457256"/>
    <w:rsid w:val="00466774"/>
    <w:rsid w:val="004701C7"/>
    <w:rsid w:val="00477E7E"/>
    <w:rsid w:val="0048333C"/>
    <w:rsid w:val="004876C1"/>
    <w:rsid w:val="00491607"/>
    <w:rsid w:val="00492D75"/>
    <w:rsid w:val="00493800"/>
    <w:rsid w:val="00495864"/>
    <w:rsid w:val="00496C6E"/>
    <w:rsid w:val="004A1D76"/>
    <w:rsid w:val="004A21C8"/>
    <w:rsid w:val="004A33D4"/>
    <w:rsid w:val="004A6A97"/>
    <w:rsid w:val="004B5D3A"/>
    <w:rsid w:val="004B7490"/>
    <w:rsid w:val="004C1025"/>
    <w:rsid w:val="004C2448"/>
    <w:rsid w:val="004D08CD"/>
    <w:rsid w:val="004D3926"/>
    <w:rsid w:val="004D3A29"/>
    <w:rsid w:val="004E1472"/>
    <w:rsid w:val="004F23DF"/>
    <w:rsid w:val="00501378"/>
    <w:rsid w:val="00505335"/>
    <w:rsid w:val="00505605"/>
    <w:rsid w:val="0050791E"/>
    <w:rsid w:val="00515E22"/>
    <w:rsid w:val="00516777"/>
    <w:rsid w:val="005215CB"/>
    <w:rsid w:val="005228EC"/>
    <w:rsid w:val="005245D6"/>
    <w:rsid w:val="00526F96"/>
    <w:rsid w:val="00527DDB"/>
    <w:rsid w:val="00531043"/>
    <w:rsid w:val="00535C7E"/>
    <w:rsid w:val="0054465D"/>
    <w:rsid w:val="00544FC6"/>
    <w:rsid w:val="0055201D"/>
    <w:rsid w:val="00554F08"/>
    <w:rsid w:val="00563A9F"/>
    <w:rsid w:val="00564814"/>
    <w:rsid w:val="00566F82"/>
    <w:rsid w:val="005735D6"/>
    <w:rsid w:val="00576726"/>
    <w:rsid w:val="00577365"/>
    <w:rsid w:val="0058206D"/>
    <w:rsid w:val="005860F2"/>
    <w:rsid w:val="00586C5F"/>
    <w:rsid w:val="00590335"/>
    <w:rsid w:val="005913EC"/>
    <w:rsid w:val="005913FC"/>
    <w:rsid w:val="00596C09"/>
    <w:rsid w:val="00596C73"/>
    <w:rsid w:val="005B0B4F"/>
    <w:rsid w:val="005D25F6"/>
    <w:rsid w:val="005D4ACA"/>
    <w:rsid w:val="005D7E47"/>
    <w:rsid w:val="005E0811"/>
    <w:rsid w:val="005E27F9"/>
    <w:rsid w:val="005E5BD1"/>
    <w:rsid w:val="005F1EE4"/>
    <w:rsid w:val="005F3C65"/>
    <w:rsid w:val="005F3C91"/>
    <w:rsid w:val="005F4F9D"/>
    <w:rsid w:val="006020D6"/>
    <w:rsid w:val="0061748F"/>
    <w:rsid w:val="00622A67"/>
    <w:rsid w:val="0063055B"/>
    <w:rsid w:val="006316ED"/>
    <w:rsid w:val="006322BB"/>
    <w:rsid w:val="006325C8"/>
    <w:rsid w:val="00633A38"/>
    <w:rsid w:val="00636C46"/>
    <w:rsid w:val="0064220A"/>
    <w:rsid w:val="00642657"/>
    <w:rsid w:val="00647011"/>
    <w:rsid w:val="0065084F"/>
    <w:rsid w:val="00671158"/>
    <w:rsid w:val="0067543A"/>
    <w:rsid w:val="00676491"/>
    <w:rsid w:val="00691ED6"/>
    <w:rsid w:val="006A0CBE"/>
    <w:rsid w:val="006A2372"/>
    <w:rsid w:val="006A29CB"/>
    <w:rsid w:val="006A3892"/>
    <w:rsid w:val="006A6720"/>
    <w:rsid w:val="006B19F0"/>
    <w:rsid w:val="006B1AA2"/>
    <w:rsid w:val="006B3591"/>
    <w:rsid w:val="006B3FCB"/>
    <w:rsid w:val="006C4298"/>
    <w:rsid w:val="006C6E26"/>
    <w:rsid w:val="006D1024"/>
    <w:rsid w:val="006E1F71"/>
    <w:rsid w:val="006E2C71"/>
    <w:rsid w:val="006E4E68"/>
    <w:rsid w:val="006E7499"/>
    <w:rsid w:val="006F161B"/>
    <w:rsid w:val="006F7C5E"/>
    <w:rsid w:val="00701682"/>
    <w:rsid w:val="0070419D"/>
    <w:rsid w:val="00704400"/>
    <w:rsid w:val="00705F3C"/>
    <w:rsid w:val="00706426"/>
    <w:rsid w:val="00706825"/>
    <w:rsid w:val="00707B28"/>
    <w:rsid w:val="007112FA"/>
    <w:rsid w:val="00711DAD"/>
    <w:rsid w:val="0071426E"/>
    <w:rsid w:val="00716376"/>
    <w:rsid w:val="007166C8"/>
    <w:rsid w:val="00720116"/>
    <w:rsid w:val="00720980"/>
    <w:rsid w:val="00721153"/>
    <w:rsid w:val="0073029C"/>
    <w:rsid w:val="0074004C"/>
    <w:rsid w:val="00744D1A"/>
    <w:rsid w:val="00744F9E"/>
    <w:rsid w:val="00751373"/>
    <w:rsid w:val="00757689"/>
    <w:rsid w:val="00765EF6"/>
    <w:rsid w:val="00783E7D"/>
    <w:rsid w:val="00784154"/>
    <w:rsid w:val="007861F5"/>
    <w:rsid w:val="00790DAC"/>
    <w:rsid w:val="007912D0"/>
    <w:rsid w:val="00792339"/>
    <w:rsid w:val="007930C3"/>
    <w:rsid w:val="007935D3"/>
    <w:rsid w:val="007A1D2B"/>
    <w:rsid w:val="007A3787"/>
    <w:rsid w:val="007A5048"/>
    <w:rsid w:val="007A610C"/>
    <w:rsid w:val="007C04E1"/>
    <w:rsid w:val="007D282A"/>
    <w:rsid w:val="007E3F0E"/>
    <w:rsid w:val="007F22B5"/>
    <w:rsid w:val="00817AC4"/>
    <w:rsid w:val="0082655E"/>
    <w:rsid w:val="00827257"/>
    <w:rsid w:val="00827787"/>
    <w:rsid w:val="00832F07"/>
    <w:rsid w:val="00833C97"/>
    <w:rsid w:val="00837CD2"/>
    <w:rsid w:val="00845880"/>
    <w:rsid w:val="0086528F"/>
    <w:rsid w:val="00874AEC"/>
    <w:rsid w:val="0088059F"/>
    <w:rsid w:val="008843AC"/>
    <w:rsid w:val="008903F4"/>
    <w:rsid w:val="00892259"/>
    <w:rsid w:val="00896EE8"/>
    <w:rsid w:val="008972C6"/>
    <w:rsid w:val="008A1F8D"/>
    <w:rsid w:val="008A3567"/>
    <w:rsid w:val="008B0915"/>
    <w:rsid w:val="008D14BB"/>
    <w:rsid w:val="008E32D8"/>
    <w:rsid w:val="008E376C"/>
    <w:rsid w:val="008E529C"/>
    <w:rsid w:val="008F5EE4"/>
    <w:rsid w:val="008F73DC"/>
    <w:rsid w:val="008F7FCE"/>
    <w:rsid w:val="009003E0"/>
    <w:rsid w:val="00904A4C"/>
    <w:rsid w:val="00906544"/>
    <w:rsid w:val="0090707D"/>
    <w:rsid w:val="009166D7"/>
    <w:rsid w:val="00916F6B"/>
    <w:rsid w:val="0091776A"/>
    <w:rsid w:val="009218D4"/>
    <w:rsid w:val="00927F2F"/>
    <w:rsid w:val="00931256"/>
    <w:rsid w:val="0093601E"/>
    <w:rsid w:val="00937D33"/>
    <w:rsid w:val="0094493C"/>
    <w:rsid w:val="00945E7F"/>
    <w:rsid w:val="00952DB0"/>
    <w:rsid w:val="00952EF2"/>
    <w:rsid w:val="00953A24"/>
    <w:rsid w:val="00953FB5"/>
    <w:rsid w:val="009540CE"/>
    <w:rsid w:val="009621C3"/>
    <w:rsid w:val="00965B5A"/>
    <w:rsid w:val="0097145A"/>
    <w:rsid w:val="00971CD8"/>
    <w:rsid w:val="009729B1"/>
    <w:rsid w:val="00972FB2"/>
    <w:rsid w:val="00977B52"/>
    <w:rsid w:val="00987255"/>
    <w:rsid w:val="0098773B"/>
    <w:rsid w:val="009A4FDC"/>
    <w:rsid w:val="009A51A0"/>
    <w:rsid w:val="009B33A8"/>
    <w:rsid w:val="009B7B13"/>
    <w:rsid w:val="009C4704"/>
    <w:rsid w:val="009C4A83"/>
    <w:rsid w:val="009D7DB1"/>
    <w:rsid w:val="009E4B15"/>
    <w:rsid w:val="00A038D7"/>
    <w:rsid w:val="00A1248C"/>
    <w:rsid w:val="00A127E0"/>
    <w:rsid w:val="00A13163"/>
    <w:rsid w:val="00A15D62"/>
    <w:rsid w:val="00A27408"/>
    <w:rsid w:val="00A32C4C"/>
    <w:rsid w:val="00A3498A"/>
    <w:rsid w:val="00A361B2"/>
    <w:rsid w:val="00A40617"/>
    <w:rsid w:val="00A5134A"/>
    <w:rsid w:val="00A5540C"/>
    <w:rsid w:val="00A55DF7"/>
    <w:rsid w:val="00A60122"/>
    <w:rsid w:val="00A60544"/>
    <w:rsid w:val="00A61CE9"/>
    <w:rsid w:val="00A65E7F"/>
    <w:rsid w:val="00A73A80"/>
    <w:rsid w:val="00A831EC"/>
    <w:rsid w:val="00A875EE"/>
    <w:rsid w:val="00A92E32"/>
    <w:rsid w:val="00A9405D"/>
    <w:rsid w:val="00AA12F5"/>
    <w:rsid w:val="00AB094E"/>
    <w:rsid w:val="00AB443D"/>
    <w:rsid w:val="00AB54D9"/>
    <w:rsid w:val="00AB60C9"/>
    <w:rsid w:val="00AC0F3E"/>
    <w:rsid w:val="00AC7FE0"/>
    <w:rsid w:val="00AD2572"/>
    <w:rsid w:val="00AD6207"/>
    <w:rsid w:val="00AE44E1"/>
    <w:rsid w:val="00AE6987"/>
    <w:rsid w:val="00B02E36"/>
    <w:rsid w:val="00B0495D"/>
    <w:rsid w:val="00B11E76"/>
    <w:rsid w:val="00B11E95"/>
    <w:rsid w:val="00B13428"/>
    <w:rsid w:val="00B1448A"/>
    <w:rsid w:val="00B1545A"/>
    <w:rsid w:val="00B2471E"/>
    <w:rsid w:val="00B376C0"/>
    <w:rsid w:val="00B4588A"/>
    <w:rsid w:val="00B4706B"/>
    <w:rsid w:val="00B50F94"/>
    <w:rsid w:val="00B56486"/>
    <w:rsid w:val="00B70942"/>
    <w:rsid w:val="00B74EC1"/>
    <w:rsid w:val="00B771DF"/>
    <w:rsid w:val="00B775AD"/>
    <w:rsid w:val="00B82D2E"/>
    <w:rsid w:val="00B84E4F"/>
    <w:rsid w:val="00B91D4F"/>
    <w:rsid w:val="00B9299B"/>
    <w:rsid w:val="00B94C05"/>
    <w:rsid w:val="00BA5AB8"/>
    <w:rsid w:val="00BB3398"/>
    <w:rsid w:val="00BB533B"/>
    <w:rsid w:val="00BB6A2D"/>
    <w:rsid w:val="00BB752A"/>
    <w:rsid w:val="00BC1061"/>
    <w:rsid w:val="00BC2AE9"/>
    <w:rsid w:val="00BD74F5"/>
    <w:rsid w:val="00BE14D9"/>
    <w:rsid w:val="00BE1AEB"/>
    <w:rsid w:val="00BE3BF8"/>
    <w:rsid w:val="00BE50AD"/>
    <w:rsid w:val="00BF24A1"/>
    <w:rsid w:val="00BF6679"/>
    <w:rsid w:val="00C0027F"/>
    <w:rsid w:val="00C06892"/>
    <w:rsid w:val="00C11224"/>
    <w:rsid w:val="00C11369"/>
    <w:rsid w:val="00C202D4"/>
    <w:rsid w:val="00C24A45"/>
    <w:rsid w:val="00C34011"/>
    <w:rsid w:val="00C4270F"/>
    <w:rsid w:val="00C44623"/>
    <w:rsid w:val="00C504D6"/>
    <w:rsid w:val="00C50756"/>
    <w:rsid w:val="00C57D1B"/>
    <w:rsid w:val="00C602E2"/>
    <w:rsid w:val="00C61832"/>
    <w:rsid w:val="00C64B55"/>
    <w:rsid w:val="00C85A40"/>
    <w:rsid w:val="00C92064"/>
    <w:rsid w:val="00C923DB"/>
    <w:rsid w:val="00CB40D2"/>
    <w:rsid w:val="00CB538F"/>
    <w:rsid w:val="00CC06BA"/>
    <w:rsid w:val="00CD4EAA"/>
    <w:rsid w:val="00CE2344"/>
    <w:rsid w:val="00CE6F6A"/>
    <w:rsid w:val="00CF469F"/>
    <w:rsid w:val="00CF71EF"/>
    <w:rsid w:val="00D066F0"/>
    <w:rsid w:val="00D067EC"/>
    <w:rsid w:val="00D06993"/>
    <w:rsid w:val="00D173E6"/>
    <w:rsid w:val="00D231D3"/>
    <w:rsid w:val="00D32B61"/>
    <w:rsid w:val="00D349FD"/>
    <w:rsid w:val="00D41B97"/>
    <w:rsid w:val="00D47EE0"/>
    <w:rsid w:val="00D52CC7"/>
    <w:rsid w:val="00D5643B"/>
    <w:rsid w:val="00D619A9"/>
    <w:rsid w:val="00D63913"/>
    <w:rsid w:val="00D6462F"/>
    <w:rsid w:val="00D65B22"/>
    <w:rsid w:val="00D724EB"/>
    <w:rsid w:val="00D7650C"/>
    <w:rsid w:val="00D801B6"/>
    <w:rsid w:val="00D85F05"/>
    <w:rsid w:val="00D86E52"/>
    <w:rsid w:val="00D9194B"/>
    <w:rsid w:val="00D9224E"/>
    <w:rsid w:val="00D92326"/>
    <w:rsid w:val="00DA01BD"/>
    <w:rsid w:val="00DB12E8"/>
    <w:rsid w:val="00DB7EBA"/>
    <w:rsid w:val="00DC0AC8"/>
    <w:rsid w:val="00DC485A"/>
    <w:rsid w:val="00DD340F"/>
    <w:rsid w:val="00DE2C61"/>
    <w:rsid w:val="00DE4426"/>
    <w:rsid w:val="00DE66F7"/>
    <w:rsid w:val="00DF657A"/>
    <w:rsid w:val="00DF76F6"/>
    <w:rsid w:val="00E004B8"/>
    <w:rsid w:val="00E013E4"/>
    <w:rsid w:val="00E13F8E"/>
    <w:rsid w:val="00E26224"/>
    <w:rsid w:val="00E32348"/>
    <w:rsid w:val="00E452B8"/>
    <w:rsid w:val="00E466EA"/>
    <w:rsid w:val="00E54B29"/>
    <w:rsid w:val="00E63C42"/>
    <w:rsid w:val="00E71A6E"/>
    <w:rsid w:val="00E71B6B"/>
    <w:rsid w:val="00E72932"/>
    <w:rsid w:val="00E74D52"/>
    <w:rsid w:val="00E75CC5"/>
    <w:rsid w:val="00E77634"/>
    <w:rsid w:val="00E82070"/>
    <w:rsid w:val="00E911BF"/>
    <w:rsid w:val="00E9308F"/>
    <w:rsid w:val="00E93FC5"/>
    <w:rsid w:val="00E94446"/>
    <w:rsid w:val="00E95D35"/>
    <w:rsid w:val="00E9636B"/>
    <w:rsid w:val="00E97211"/>
    <w:rsid w:val="00EA50B1"/>
    <w:rsid w:val="00EB41DA"/>
    <w:rsid w:val="00EC4BD0"/>
    <w:rsid w:val="00ED21BE"/>
    <w:rsid w:val="00ED413F"/>
    <w:rsid w:val="00EE305C"/>
    <w:rsid w:val="00EE45C5"/>
    <w:rsid w:val="00EF0530"/>
    <w:rsid w:val="00EF2699"/>
    <w:rsid w:val="00EF41B8"/>
    <w:rsid w:val="00F003F7"/>
    <w:rsid w:val="00F0245C"/>
    <w:rsid w:val="00F06FB0"/>
    <w:rsid w:val="00F20EFA"/>
    <w:rsid w:val="00F21C92"/>
    <w:rsid w:val="00F22FF4"/>
    <w:rsid w:val="00F2749E"/>
    <w:rsid w:val="00F308F4"/>
    <w:rsid w:val="00F433C9"/>
    <w:rsid w:val="00F43DA7"/>
    <w:rsid w:val="00F46897"/>
    <w:rsid w:val="00F46C0A"/>
    <w:rsid w:val="00F47366"/>
    <w:rsid w:val="00F51D7B"/>
    <w:rsid w:val="00F56767"/>
    <w:rsid w:val="00F56A46"/>
    <w:rsid w:val="00F57876"/>
    <w:rsid w:val="00F57F27"/>
    <w:rsid w:val="00F639DB"/>
    <w:rsid w:val="00F66112"/>
    <w:rsid w:val="00F72B03"/>
    <w:rsid w:val="00F72C11"/>
    <w:rsid w:val="00F736EC"/>
    <w:rsid w:val="00F8746B"/>
    <w:rsid w:val="00F901AC"/>
    <w:rsid w:val="00F92B31"/>
    <w:rsid w:val="00FA1281"/>
    <w:rsid w:val="00FA4D46"/>
    <w:rsid w:val="00FC0452"/>
    <w:rsid w:val="00FC3687"/>
    <w:rsid w:val="00FC3749"/>
    <w:rsid w:val="00FC6971"/>
    <w:rsid w:val="00FC734A"/>
    <w:rsid w:val="00FD2285"/>
    <w:rsid w:val="00FE2101"/>
    <w:rsid w:val="00FE6004"/>
    <w:rsid w:val="01801403"/>
    <w:rsid w:val="0BBA34D3"/>
    <w:rsid w:val="0C121E14"/>
    <w:rsid w:val="0D7E730F"/>
    <w:rsid w:val="0EDE573C"/>
    <w:rsid w:val="0F904F68"/>
    <w:rsid w:val="10257DBA"/>
    <w:rsid w:val="11296800"/>
    <w:rsid w:val="12763F29"/>
    <w:rsid w:val="13C04332"/>
    <w:rsid w:val="15506554"/>
    <w:rsid w:val="15D75E40"/>
    <w:rsid w:val="16A36656"/>
    <w:rsid w:val="17BC731F"/>
    <w:rsid w:val="18261D27"/>
    <w:rsid w:val="18517952"/>
    <w:rsid w:val="194439E5"/>
    <w:rsid w:val="197313D4"/>
    <w:rsid w:val="19BE1302"/>
    <w:rsid w:val="19E52CBE"/>
    <w:rsid w:val="1BFA0F52"/>
    <w:rsid w:val="1DCD31C3"/>
    <w:rsid w:val="1E4420D6"/>
    <w:rsid w:val="20B335E1"/>
    <w:rsid w:val="20C519F0"/>
    <w:rsid w:val="20CA7490"/>
    <w:rsid w:val="22320063"/>
    <w:rsid w:val="2265696C"/>
    <w:rsid w:val="24682777"/>
    <w:rsid w:val="28123497"/>
    <w:rsid w:val="2C361FC8"/>
    <w:rsid w:val="2CF522D1"/>
    <w:rsid w:val="2D1319D2"/>
    <w:rsid w:val="2E7C4A5F"/>
    <w:rsid w:val="30280015"/>
    <w:rsid w:val="321A7F16"/>
    <w:rsid w:val="33286F19"/>
    <w:rsid w:val="352A3390"/>
    <w:rsid w:val="355A28C3"/>
    <w:rsid w:val="36DB23AC"/>
    <w:rsid w:val="387E69A5"/>
    <w:rsid w:val="39E14F26"/>
    <w:rsid w:val="3A9153E4"/>
    <w:rsid w:val="3DD145E7"/>
    <w:rsid w:val="3E4601C3"/>
    <w:rsid w:val="44433C43"/>
    <w:rsid w:val="445E6E1F"/>
    <w:rsid w:val="47B17217"/>
    <w:rsid w:val="494E5286"/>
    <w:rsid w:val="4A296E48"/>
    <w:rsid w:val="4AE117A2"/>
    <w:rsid w:val="50B94945"/>
    <w:rsid w:val="567B3A9B"/>
    <w:rsid w:val="56CB7BF4"/>
    <w:rsid w:val="571A20F9"/>
    <w:rsid w:val="578D0AB2"/>
    <w:rsid w:val="5CEA35AC"/>
    <w:rsid w:val="5FD61402"/>
    <w:rsid w:val="5FE26B75"/>
    <w:rsid w:val="61266CE7"/>
    <w:rsid w:val="62250D88"/>
    <w:rsid w:val="624F2AF0"/>
    <w:rsid w:val="6275129C"/>
    <w:rsid w:val="67A92BD4"/>
    <w:rsid w:val="67BA14A1"/>
    <w:rsid w:val="6A054A69"/>
    <w:rsid w:val="6ABE7957"/>
    <w:rsid w:val="6AC747EA"/>
    <w:rsid w:val="6BB847B1"/>
    <w:rsid w:val="6C301F4C"/>
    <w:rsid w:val="6C4216A5"/>
    <w:rsid w:val="6D9B0907"/>
    <w:rsid w:val="6EFD5636"/>
    <w:rsid w:val="712045C7"/>
    <w:rsid w:val="725D7CDF"/>
    <w:rsid w:val="7330336F"/>
    <w:rsid w:val="76583E7B"/>
    <w:rsid w:val="7879416B"/>
    <w:rsid w:val="78860325"/>
    <w:rsid w:val="78A661F7"/>
    <w:rsid w:val="79517A9E"/>
    <w:rsid w:val="7B74019B"/>
    <w:rsid w:val="7D1D2D1E"/>
    <w:rsid w:val="7E5E5DDD"/>
    <w:rsid w:val="7ED77DFD"/>
    <w:rsid w:val="7EF961D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2"/>
    <w:basedOn w:val="1"/>
    <w:next w:val="1"/>
    <w:unhideWhenUsed/>
    <w:qFormat/>
    <w:uiPriority w:val="0"/>
    <w:pPr>
      <w:keepNext/>
      <w:widowControl/>
      <w:spacing w:before="240" w:after="60"/>
      <w:jc w:val="left"/>
      <w:outlineLvl w:val="1"/>
    </w:pPr>
    <w:rPr>
      <w:rFonts w:ascii="Arial" w:hAnsi="Arial" w:cs="Arial"/>
      <w:b/>
      <w:bCs/>
      <w:i/>
      <w:iCs/>
      <w:kern w:val="0"/>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annotation reference"/>
    <w:basedOn w:val="3"/>
    <w:qFormat/>
    <w:uiPriority w:val="0"/>
    <w:rPr>
      <w:sz w:val="16"/>
      <w:szCs w:val="16"/>
    </w:rPr>
  </w:style>
  <w:style w:type="character" w:styleId="6">
    <w:name w:val="Hyperlink"/>
    <w:basedOn w:val="3"/>
    <w:qFormat/>
    <w:uiPriority w:val="0"/>
    <w:rPr>
      <w:color w:val="0000FF"/>
      <w:u w:val="single"/>
    </w:rPr>
  </w:style>
  <w:style w:type="paragraph" w:styleId="7">
    <w:name w:val="Balloon Text"/>
    <w:basedOn w:val="1"/>
    <w:link w:val="22"/>
    <w:qFormat/>
    <w:uiPriority w:val="0"/>
    <w:rPr>
      <w:rFonts w:ascii="Tahoma" w:hAnsi="Tahoma" w:cs="Tahoma"/>
      <w:sz w:val="16"/>
      <w:szCs w:val="16"/>
    </w:rPr>
  </w:style>
  <w:style w:type="paragraph" w:styleId="8">
    <w:name w:val="annotation text"/>
    <w:basedOn w:val="1"/>
    <w:link w:val="29"/>
    <w:qFormat/>
    <w:uiPriority w:val="0"/>
    <w:rPr>
      <w:sz w:val="20"/>
      <w:szCs w:val="20"/>
    </w:rPr>
  </w:style>
  <w:style w:type="paragraph" w:styleId="9">
    <w:name w:val="annotation subject"/>
    <w:basedOn w:val="8"/>
    <w:next w:val="8"/>
    <w:link w:val="30"/>
    <w:semiHidden/>
    <w:unhideWhenUsed/>
    <w:qFormat/>
    <w:uiPriority w:val="0"/>
    <w:rPr>
      <w:b/>
      <w:bCs/>
    </w:rPr>
  </w:style>
  <w:style w:type="paragraph" w:styleId="10">
    <w:name w:val="header"/>
    <w:basedOn w:val="1"/>
    <w:link w:val="23"/>
    <w:qFormat/>
    <w:uiPriority w:val="0"/>
    <w:pPr>
      <w:tabs>
        <w:tab w:val="center" w:pos="4677"/>
        <w:tab w:val="right" w:pos="9355"/>
      </w:tabs>
    </w:pPr>
  </w:style>
  <w:style w:type="paragraph" w:styleId="11">
    <w:name w:val="footer"/>
    <w:basedOn w:val="1"/>
    <w:link w:val="24"/>
    <w:qFormat/>
    <w:uiPriority w:val="99"/>
    <w:pPr>
      <w:tabs>
        <w:tab w:val="center" w:pos="4677"/>
        <w:tab w:val="right" w:pos="9355"/>
      </w:tabs>
    </w:pPr>
  </w:style>
  <w:style w:type="paragraph" w:styleId="12">
    <w:name w:val="Normal (Web)"/>
    <w:basedOn w:val="1"/>
    <w:qFormat/>
    <w:uiPriority w:val="0"/>
  </w:style>
  <w:style w:type="paragraph" w:styleId="13">
    <w:name w:val="Body Text 3"/>
    <w:basedOn w:val="1"/>
    <w:link w:val="19"/>
    <w:qFormat/>
    <w:uiPriority w:val="0"/>
    <w:pPr>
      <w:jc w:val="both"/>
    </w:pPr>
    <w:rPr>
      <w:sz w:val="28"/>
      <w:szCs w:val="20"/>
      <w:lang w:val="zh-CN" w:eastAsia="zh-CN"/>
    </w:rPr>
  </w:style>
  <w:style w:type="paragraph" w:customStyle="1" w:styleId="14">
    <w:name w:val="ConsPlusTitlePage"/>
    <w:qFormat/>
    <w:uiPriority w:val="0"/>
    <w:pPr>
      <w:widowControl w:val="0"/>
      <w:autoSpaceDE w:val="0"/>
      <w:autoSpaceDN w:val="0"/>
    </w:pPr>
    <w:rPr>
      <w:rFonts w:ascii="Tahoma" w:hAnsi="Tahoma" w:eastAsia="Times New Roman" w:cs="Tahoma"/>
      <w:lang w:val="ru-RU" w:eastAsia="ru-RU" w:bidi="ar-SA"/>
    </w:rPr>
  </w:style>
  <w:style w:type="paragraph" w:customStyle="1" w:styleId="15">
    <w:name w:val="ConsPlusNormal"/>
    <w:qFormat/>
    <w:uiPriority w:val="99"/>
    <w:pPr>
      <w:widowControl w:val="0"/>
      <w:autoSpaceDE w:val="0"/>
      <w:autoSpaceDN w:val="0"/>
    </w:pPr>
    <w:rPr>
      <w:rFonts w:ascii="Times New Roman" w:hAnsi="Times New Roman" w:eastAsia="Times New Roman" w:cs="Times New Roman"/>
      <w:sz w:val="24"/>
      <w:lang w:val="ru-RU" w:eastAsia="ru-RU" w:bidi="ar-SA"/>
    </w:rPr>
  </w:style>
  <w:style w:type="paragraph" w:customStyle="1" w:styleId="16">
    <w:name w:val="ConsPlusTitle"/>
    <w:qFormat/>
    <w:uiPriority w:val="0"/>
    <w:pPr>
      <w:widowControl w:val="0"/>
      <w:autoSpaceDE w:val="0"/>
      <w:autoSpaceDN w:val="0"/>
    </w:pPr>
    <w:rPr>
      <w:rFonts w:ascii="Times New Roman" w:hAnsi="Times New Roman" w:eastAsia="Times New Roman" w:cs="Times New Roman"/>
      <w:b/>
      <w:sz w:val="24"/>
      <w:lang w:val="ru-RU" w:eastAsia="ru-RU" w:bidi="ar-SA"/>
    </w:rPr>
  </w:style>
  <w:style w:type="paragraph" w:customStyle="1" w:styleId="17">
    <w:name w:val="ConsPlusNonformat"/>
    <w:qFormat/>
    <w:uiPriority w:val="0"/>
    <w:pPr>
      <w:widowControl w:val="0"/>
      <w:autoSpaceDE w:val="0"/>
      <w:autoSpaceDN w:val="0"/>
    </w:pPr>
    <w:rPr>
      <w:rFonts w:ascii="Courier New" w:hAnsi="Courier New" w:eastAsia="Times New Roman" w:cs="Courier New"/>
      <w:lang w:val="ru-RU" w:eastAsia="ru-RU" w:bidi="ar-SA"/>
    </w:rPr>
  </w:style>
  <w:style w:type="paragraph" w:customStyle="1" w:styleId="18">
    <w:name w:val="ConsPlusCell"/>
    <w:qFormat/>
    <w:uiPriority w:val="0"/>
    <w:pPr>
      <w:widowControl w:val="0"/>
      <w:autoSpaceDE w:val="0"/>
      <w:autoSpaceDN w:val="0"/>
      <w:adjustRightInd w:val="0"/>
    </w:pPr>
    <w:rPr>
      <w:rFonts w:ascii="Times New Roman" w:hAnsi="Times New Roman" w:eastAsia="Times New Roman" w:cs="Times New Roman"/>
      <w:sz w:val="24"/>
      <w:szCs w:val="24"/>
      <w:lang w:val="ru-RU" w:eastAsia="ru-RU" w:bidi="ar-SA"/>
    </w:rPr>
  </w:style>
  <w:style w:type="character" w:customStyle="1" w:styleId="19">
    <w:name w:val="Основной текст 3 Знак"/>
    <w:link w:val="13"/>
    <w:qFormat/>
    <w:uiPriority w:val="0"/>
    <w:rPr>
      <w:sz w:val="28"/>
      <w:lang w:val="zh-CN" w:eastAsia="zh-CN"/>
    </w:rPr>
  </w:style>
  <w:style w:type="paragraph" w:styleId="20">
    <w:name w:val="No Spacing"/>
    <w:qFormat/>
    <w:uiPriority w:val="1"/>
    <w:rPr>
      <w:rFonts w:ascii="Times New Roman" w:hAnsi="Times New Roman" w:eastAsia="Times New Roman" w:cs="Times New Roman"/>
      <w:sz w:val="24"/>
      <w:szCs w:val="24"/>
      <w:lang w:val="ru-RU" w:eastAsia="ru-RU" w:bidi="ar-SA"/>
    </w:rPr>
  </w:style>
  <w:style w:type="paragraph" w:styleId="21">
    <w:name w:val="List Paragraph"/>
    <w:basedOn w:val="1"/>
    <w:qFormat/>
    <w:uiPriority w:val="34"/>
    <w:pPr>
      <w:ind w:left="720"/>
      <w:contextualSpacing/>
    </w:pPr>
    <w:rPr>
      <w:rFonts w:ascii="Arial Unicode MS" w:hAnsi="Arial Unicode MS" w:eastAsia="Arial Unicode MS" w:cs="Arial Unicode MS"/>
      <w:sz w:val="20"/>
      <w:szCs w:val="20"/>
    </w:rPr>
  </w:style>
  <w:style w:type="character" w:customStyle="1" w:styleId="22">
    <w:name w:val="Текст выноски Знак"/>
    <w:link w:val="7"/>
    <w:qFormat/>
    <w:uiPriority w:val="0"/>
    <w:rPr>
      <w:rFonts w:ascii="Tahoma" w:hAnsi="Tahoma" w:cs="Tahoma"/>
      <w:sz w:val="16"/>
      <w:szCs w:val="16"/>
    </w:rPr>
  </w:style>
  <w:style w:type="character" w:customStyle="1" w:styleId="23">
    <w:name w:val="Верхний колонтитул Знак"/>
    <w:basedOn w:val="3"/>
    <w:link w:val="10"/>
    <w:qFormat/>
    <w:uiPriority w:val="0"/>
    <w:rPr>
      <w:sz w:val="24"/>
      <w:szCs w:val="24"/>
    </w:rPr>
  </w:style>
  <w:style w:type="character" w:customStyle="1" w:styleId="24">
    <w:name w:val="Нижний колонтитул Знак"/>
    <w:basedOn w:val="3"/>
    <w:link w:val="11"/>
    <w:qFormat/>
    <w:uiPriority w:val="99"/>
    <w:rPr>
      <w:sz w:val="24"/>
      <w:szCs w:val="24"/>
    </w:rPr>
  </w:style>
  <w:style w:type="character" w:customStyle="1" w:styleId="25">
    <w:name w:val="fake-non-breaking-space"/>
    <w:basedOn w:val="3"/>
    <w:qFormat/>
    <w:uiPriority w:val="0"/>
  </w:style>
  <w:style w:type="paragraph" w:customStyle="1" w:styleId="26">
    <w:name w:val="p-normal"/>
    <w:basedOn w:val="1"/>
    <w:qFormat/>
    <w:uiPriority w:val="0"/>
    <w:pPr>
      <w:spacing w:before="100" w:beforeAutospacing="1" w:after="100" w:afterAutospacing="1"/>
    </w:pPr>
  </w:style>
  <w:style w:type="character" w:customStyle="1" w:styleId="27">
    <w:name w:val="h-normal"/>
    <w:qFormat/>
    <w:uiPriority w:val="0"/>
    <w:rPr>
      <w:rFonts w:cs="Times New Roman"/>
    </w:rPr>
  </w:style>
  <w:style w:type="character" w:customStyle="1" w:styleId="28">
    <w:name w:val="color__ff00ff"/>
    <w:qFormat/>
    <w:uiPriority w:val="0"/>
    <w:rPr>
      <w:rFonts w:cs="Times New Roman"/>
    </w:rPr>
  </w:style>
  <w:style w:type="character" w:customStyle="1" w:styleId="29">
    <w:name w:val="Текст примечания Знак"/>
    <w:basedOn w:val="3"/>
    <w:link w:val="8"/>
    <w:qFormat/>
    <w:uiPriority w:val="0"/>
  </w:style>
  <w:style w:type="character" w:customStyle="1" w:styleId="30">
    <w:name w:val="Тема примечания Знак"/>
    <w:basedOn w:val="29"/>
    <w:link w:val="9"/>
    <w:semiHidden/>
    <w:qFormat/>
    <w:uiPriority w:val="0"/>
    <w:rPr>
      <w:b/>
      <w:bCs/>
    </w:rPr>
  </w:style>
  <w:style w:type="character" w:customStyle="1" w:styleId="31">
    <w:name w:val="word-wrapper"/>
    <w:basedOn w:val="3"/>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0C9CC-954C-4D9E-BAD4-05D8C0BD372A}">
  <ds:schemaRefs/>
</ds:datastoreItem>
</file>

<file path=docProps/app.xml><?xml version="1.0" encoding="utf-8"?>
<Properties xmlns="http://schemas.openxmlformats.org/officeDocument/2006/extended-properties" xmlns:vt="http://schemas.openxmlformats.org/officeDocument/2006/docPropsVTypes">
  <Template>Normal.dotm</Template>
  <Company>Организация</Company>
  <Pages>20</Pages>
  <Words>6759</Words>
  <Characters>38528</Characters>
  <Lines>321</Lines>
  <Paragraphs>90</Paragraphs>
  <TotalTime>3</TotalTime>
  <ScaleCrop>false</ScaleCrop>
  <LinksUpToDate>false</LinksUpToDate>
  <CharactersWithSpaces>45197</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2024-08-12T12:39:00Z</dcterms:created>
  <dc:creator>lemesheva</dc:creator>
  <cp:lastModifiedBy>Admin</cp:lastModifiedBy>
  <cp:lastPrinted>2026-06-08T12:04:53Z</cp:lastPrinted>
  <dcterms:modified xsi:type="dcterms:W3CDTF">2026-06-08T12:06:24Z</dcterms:modified>
  <dc:title>Документ предоставлен КонсультантПлюс</dc:title>
  <cp:revision>192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904C3AFB8362451EA8EAFD7EDABC0772_13</vt:lpwstr>
  </property>
</Properties>
</file>