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EZ20260603379216 «Штативы для Республиканской молекулярно-генетической лаборатории канцерогенеза»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