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02.06.2026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3937</w:t>
            </w:r>
            <w:r>
              <w:rPr>
                <w:snapToGrid w:val="0"/>
                <w:sz w:val="24"/>
                <w:szCs w:val="24"/>
              </w:rPr>
              <w:t>__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  <w:bookmarkStart w:id="0" w:name="_GoBack"/>
      <w:bookmarkEnd w:id="0"/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РУП «БЕЛФАРМАЦИЯ» с целью определения предельной стоимости для последующего проведения процедуры государственной закупки по плану 2026 года просит сообщить о возможности поставки </w:t>
      </w:r>
      <w:r>
        <w:rPr>
          <w:sz w:val="28"/>
          <w:szCs w:val="28"/>
          <w:u w:val="single"/>
        </w:rPr>
        <w:t>зарегистрированных/ незарегистрированных</w:t>
      </w:r>
      <w:r>
        <w:rPr>
          <w:sz w:val="28"/>
          <w:szCs w:val="28"/>
        </w:rPr>
        <w:t xml:space="preserve"> в Республике Беларусь лекарственных препаратов: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 xml:space="preserve">Вакцина против гепатита В суспензия для в/м введения 1 доза 0,5 мл (для детей)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24 720 ед.,</w:t>
      </w:r>
    </w:p>
    <w:p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-Вакцина против гепатита В суспензия для в/м введения 1 доза 1 мл (для взрослых) </w:t>
      </w:r>
      <w:r>
        <w:rPr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>8 579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просим представить информацию о возможных сроках поставки.</w:t>
      </w:r>
    </w:p>
    <w:p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Лекарственные препараты должны соответствовать следующим Требованиям.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требования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 xml:space="preserve">Перечень иммунобиологических лекарственных препаратов с установленной формой выпуска к закупке на 2026 год по каждой позиции указан в </w:t>
      </w:r>
      <w:r>
        <w:rPr>
          <w:b/>
          <w:sz w:val="28"/>
          <w:szCs w:val="28"/>
        </w:rPr>
        <w:t>Приложении 1</w:t>
      </w:r>
      <w:r>
        <w:rPr>
          <w:sz w:val="28"/>
          <w:szCs w:val="28"/>
        </w:rPr>
        <w:t>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Дополнительные условия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 xml:space="preserve">Лекарственные средства по разделам плана J06 «Иммунные сыворотки и иммуноглобулины», J07 «Вакцины», V01 «Аллергены» (Аллерген </w:t>
      </w:r>
      <w:r>
        <w:rPr>
          <w:sz w:val="28"/>
          <w:szCs w:val="28"/>
        </w:rPr>
        <w:lastRenderedPageBreak/>
        <w:t>туберкулезный рекомбинантный), V04 «Диагностические препараты» (Туберкулин) поставляются и хранятся при соблюдении условий «</w:t>
      </w:r>
      <w:proofErr w:type="spellStart"/>
      <w:r>
        <w:rPr>
          <w:sz w:val="28"/>
          <w:szCs w:val="28"/>
        </w:rPr>
        <w:t>холодовой</w:t>
      </w:r>
      <w:proofErr w:type="spellEnd"/>
      <w:r>
        <w:rPr>
          <w:sz w:val="28"/>
          <w:szCs w:val="28"/>
        </w:rPr>
        <w:t xml:space="preserve"> цепи», установленных производителем к конкретным препаратам.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</w:r>
      <w:proofErr w:type="spellStart"/>
      <w:r>
        <w:rPr>
          <w:sz w:val="28"/>
          <w:szCs w:val="28"/>
        </w:rPr>
        <w:t>терморегистраторами</w:t>
      </w:r>
      <w:proofErr w:type="spellEnd"/>
      <w:r>
        <w:rPr>
          <w:sz w:val="28"/>
          <w:szCs w:val="28"/>
        </w:rPr>
        <w:t>, позволяющими контролировать температуру в контейнере и проводить оценку её соблюдения в течение всего периода транспортировки.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</w:r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Вакцина против гепатита В</w:t>
      </w:r>
      <w:r>
        <w:rPr>
          <w:sz w:val="28"/>
          <w:szCs w:val="28"/>
        </w:rPr>
        <w:t xml:space="preserve"> (для детей) должна быть в форме суспензии для внутримышечных инъекций </w:t>
      </w:r>
      <w:proofErr w:type="spellStart"/>
      <w:r>
        <w:rPr>
          <w:sz w:val="28"/>
          <w:szCs w:val="28"/>
        </w:rPr>
        <w:t>однодозовой</w:t>
      </w:r>
      <w:proofErr w:type="spellEnd"/>
      <w:r>
        <w:rPr>
          <w:sz w:val="28"/>
          <w:szCs w:val="28"/>
        </w:rPr>
        <w:t xml:space="preserve"> 0,5 мл в ампуле (флаконе) и применяться у детей в первые 12 часов жизни.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Обоснование: обеспечение безопасности иммунизации и сокращения потерь при расходе вакцины в </w:t>
      </w:r>
      <w:proofErr w:type="spellStart"/>
      <w:r>
        <w:rPr>
          <w:i/>
          <w:sz w:val="28"/>
          <w:szCs w:val="28"/>
        </w:rPr>
        <w:t>многодозовой</w:t>
      </w:r>
      <w:proofErr w:type="spellEnd"/>
      <w:r>
        <w:rPr>
          <w:i/>
          <w:sz w:val="28"/>
          <w:szCs w:val="28"/>
        </w:rPr>
        <w:t xml:space="preserve"> фасовке, а также в целях выполнения требований постановления Министерства здравоохранения Республики Беларусь от 17 мая 2018 г. № 42 «О профилактических прививках».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требования: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вакцины против гепатита В у разных производителей имеют различные возрастные режимы дозирования и схемы иммунизации, с целью обеспечения единого стандарта вакцинации детей и взрослых, упрощения логистики и снижения риска ошибок при дозировании, необходима закупка </w:t>
      </w:r>
      <w:r>
        <w:rPr>
          <w:sz w:val="28"/>
          <w:szCs w:val="28"/>
        </w:rPr>
        <w:lastRenderedPageBreak/>
        <w:t>вакцины (для детей, для взрослых) одного производителя (одного наименования).</w:t>
      </w:r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3.Остаточный срок годности лекарственных средств</w:t>
      </w:r>
      <w:r>
        <w:rPr>
          <w:sz w:val="28"/>
          <w:szCs w:val="28"/>
        </w:rPr>
        <w:t xml:space="preserve">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не менее 50% от установленного производителем на дату поставки, при сроке годности два года и более;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 не менее 70% от установленного производителем на дату поставки, при сроке годности менее двух лет;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проведения закупки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предложений требованиям заявки на закупку;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поставки в соответствии с графиком поставок;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наименьшая цена.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</w:r>
    </w:p>
    <w:p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1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2520"/>
        <w:gridCol w:w="1550"/>
        <w:gridCol w:w="1806"/>
        <w:gridCol w:w="1636"/>
        <w:gridCol w:w="1555"/>
      </w:tblGrid>
      <w:tr>
        <w:tc>
          <w:tcPr>
            <w:tcW w:w="562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Форма выпуска</w:t>
            </w:r>
          </w:p>
        </w:tc>
        <w:tc>
          <w:tcPr>
            <w:tcW w:w="1806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Обоснование (дополнение) формы выпуска</w:t>
            </w:r>
          </w:p>
        </w:tc>
        <w:tc>
          <w:tcPr>
            <w:tcW w:w="1636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Целевые группы, которым показано введение ИЛП</w:t>
            </w: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Кратность введения ИЛП целевым группам</w:t>
            </w:r>
          </w:p>
        </w:tc>
      </w:tr>
      <w:tr>
        <w:tc>
          <w:tcPr>
            <w:tcW w:w="562" w:type="dxa"/>
          </w:tcPr>
          <w:p>
            <w:pPr>
              <w:jc w:val="both"/>
            </w:pPr>
            <w: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Вакцина против гепатита В</w:t>
            </w:r>
          </w:p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(для детей)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суспензия для инъекций в/м</w:t>
            </w:r>
          </w:p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доз 0,5 мл</w:t>
            </w:r>
          </w:p>
        </w:tc>
        <w:tc>
          <w:tcPr>
            <w:tcW w:w="1806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636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strike/>
                <w:lang w:eastAsia="en-US"/>
              </w:rPr>
            </w:pPr>
            <w:r>
              <w:rPr>
                <w:rFonts w:eastAsia="Calibri"/>
                <w:lang w:eastAsia="en-US"/>
              </w:rPr>
              <w:t>Дети в возрасте 12 часов после рождения.</w:t>
            </w:r>
          </w:p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индивидуальной схеме</w:t>
            </w:r>
            <w:r>
              <w:rPr>
                <w:rFonts w:eastAsia="Calibri"/>
                <w:vertAlign w:val="superscript"/>
                <w:lang w:eastAsia="en-US"/>
              </w:rPr>
              <w:t>1,2</w:t>
            </w: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одной дозе в указанный возраст</w:t>
            </w:r>
          </w:p>
        </w:tc>
      </w:tr>
      <w:tr>
        <w:tc>
          <w:tcPr>
            <w:tcW w:w="562" w:type="dxa"/>
          </w:tcPr>
          <w:p>
            <w:pPr>
              <w:jc w:val="both"/>
            </w:pPr>
            <w: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Вакцина против гепатита В</w:t>
            </w:r>
          </w:p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(для взрослых)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суспензия для инъекций в/м</w:t>
            </w:r>
          </w:p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доз 1 мл</w:t>
            </w:r>
          </w:p>
        </w:tc>
        <w:tc>
          <w:tcPr>
            <w:tcW w:w="1806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636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Взрослые</w:t>
            </w:r>
            <w:r>
              <w:rPr>
                <w:rFonts w:eastAsia="Calibri"/>
                <w:vertAlign w:val="superscript"/>
                <w:lang w:eastAsia="en-US"/>
              </w:rPr>
              <w:t>1,2</w:t>
            </w: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Трехкратно по одной дозе</w:t>
            </w:r>
          </w:p>
        </w:tc>
      </w:tr>
    </w:tbl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Примечание: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 – Постановление Министерства здравоохранения Республики Беларусь от 17.05.2018 № 42 «О профилактических прививках»</w:t>
      </w:r>
      <w:r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(с изменениями в редакции постановления Министерства здравоохранения Республики Беларусь от 13.01.2025 № 3)</w:t>
      </w:r>
      <w:r>
        <w:rPr>
          <w:sz w:val="24"/>
          <w:szCs w:val="24"/>
        </w:rPr>
        <w:t>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</w:r>
    </w:p>
    <w:p>
      <w:pPr>
        <w:jc w:val="both"/>
        <w:rPr>
          <w:sz w:val="24"/>
          <w:szCs w:val="24"/>
        </w:rPr>
      </w:pP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случае, если лекарственное средство </w:t>
      </w:r>
      <w:r>
        <w:rPr>
          <w:b/>
          <w:sz w:val="28"/>
          <w:szCs w:val="28"/>
          <w:u w:val="single"/>
        </w:rPr>
        <w:t>не зарегистрировано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br/>
        <w:t>Республике Беларусь, просим гарантировать предоставление копий следующих документов с переводом на русский (белорусский) язык: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графическое изображение экрана (скриншот)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</w:r>
      <w:proofErr w:type="spellStart"/>
      <w:r>
        <w:rPr>
          <w:sz w:val="28"/>
          <w:szCs w:val="28"/>
        </w:rPr>
        <w:t>free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sale</w:t>
      </w:r>
      <w:proofErr w:type="spellEnd"/>
      <w:r>
        <w:rPr>
          <w:sz w:val="28"/>
          <w:szCs w:val="28"/>
        </w:rPr>
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</w:r>
      <w:proofErr w:type="spellStart"/>
      <w:r>
        <w:rPr>
          <w:sz w:val="28"/>
          <w:szCs w:val="28"/>
        </w:rPr>
        <w:t>European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Medicines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Agency</w:t>
      </w:r>
      <w:proofErr w:type="spellEnd"/>
      <w:r>
        <w:rPr>
          <w:sz w:val="28"/>
          <w:szCs w:val="28"/>
        </w:rPr>
        <w:t xml:space="preserve"> (EMA)) по результатам централизованной процедуры регистрации - </w:t>
      </w:r>
      <w:proofErr w:type="spellStart"/>
      <w:r>
        <w:rPr>
          <w:sz w:val="28"/>
          <w:szCs w:val="28"/>
        </w:rPr>
        <w:t>Certificate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Medicinal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, а также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</w:r>
      <w:proofErr w:type="spellStart"/>
      <w:r>
        <w:rPr>
          <w:sz w:val="28"/>
          <w:szCs w:val="28"/>
        </w:rPr>
        <w:t>преквалифицирован</w:t>
      </w:r>
      <w:proofErr w:type="spellEnd"/>
      <w:r>
        <w:rPr>
          <w:sz w:val="28"/>
          <w:szCs w:val="28"/>
        </w:rPr>
        <w:t xml:space="preserve"> ВОЗ, а также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</w:p>
    <w:p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к поставке лекарственный препарат был зарегистрирован на территории Республики Беларусь;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должна быть представлена </w:t>
      </w:r>
      <w:proofErr w:type="spellStart"/>
      <w:r>
        <w:rPr>
          <w:sz w:val="28"/>
          <w:szCs w:val="28"/>
        </w:rPr>
        <w:t>SmPC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summary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product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characteristics</w:t>
      </w:r>
      <w:proofErr w:type="spellEnd"/>
      <w:r>
        <w:rPr>
          <w:sz w:val="28"/>
          <w:szCs w:val="28"/>
        </w:rPr>
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настоящего подпункта не распространяются на лекарственные препараты: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регистрационные удостоверения на которые были приостановлены по инициативе Министерства здравоохранения Республики Беларусь;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регистрации (перерегистрации, подтверждении регистрации) которых было отказано.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</w:r>
      <w:proofErr w:type="spellStart"/>
      <w:r>
        <w:rPr>
          <w:sz w:val="28"/>
          <w:szCs w:val="28"/>
        </w:rPr>
        <w:t>EudraGMDP</w:t>
      </w:r>
      <w:proofErr w:type="spellEnd"/>
      <w:r>
        <w:rPr>
          <w:sz w:val="28"/>
          <w:szCs w:val="28"/>
        </w:rPr>
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</w:r>
      <w:proofErr w:type="gramStart"/>
      <w:r>
        <w:rPr>
          <w:sz w:val="28"/>
          <w:szCs w:val="28"/>
        </w:rPr>
        <w:t>в том числе</w:t>
      </w:r>
      <w:proofErr w:type="gramEnd"/>
      <w:r>
        <w:rPr>
          <w:sz w:val="28"/>
          <w:szCs w:val="28"/>
        </w:rPr>
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Гарантийные письма участника с переводом на русский (белорусский) язык: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соблюдении условий хранения и транспортировки лекарственного препарата;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</w:t>
      </w:r>
      <w:r>
        <w:rPr>
          <w:sz w:val="28"/>
          <w:szCs w:val="28"/>
        </w:rPr>
        <w:lastRenderedPageBreak/>
        <w:t>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к каждой упаковке перевода инструкции на русский язык и (или) белорусский язык и требуемое количество </w:t>
      </w:r>
      <w:proofErr w:type="spellStart"/>
      <w:r>
        <w:rPr>
          <w:sz w:val="28"/>
          <w:szCs w:val="28"/>
        </w:rPr>
        <w:t>стикеров</w:t>
      </w:r>
      <w:proofErr w:type="spellEnd"/>
      <w:r>
        <w:rPr>
          <w:sz w:val="28"/>
          <w:szCs w:val="28"/>
        </w:rPr>
        <w:t xml:space="preserve"> (в случае необходимости) при поставке незарегистрированного лекарственного препарата;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по 05.06.2026 включительно </w:t>
      </w:r>
      <w:r>
        <w:rPr>
          <w:sz w:val="28"/>
          <w:szCs w:val="28"/>
        </w:rPr>
        <w:t xml:space="preserve">по электронному адресу </w:t>
      </w:r>
      <w:proofErr w:type="spellStart"/>
      <w:r>
        <w:rPr>
          <w:sz w:val="28"/>
          <w:szCs w:val="28"/>
          <w:lang w:val="en-US"/>
        </w:rPr>
        <w:t>bakun</w:t>
      </w:r>
      <w:proofErr w:type="spellEnd"/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                                                    Т.П. Трухан</w:t>
      </w: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</w:p>
    <w:p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Мельниченко 243 21 94</w:t>
      </w:r>
    </w:p>
    <w:sectPr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110241"/>
      <w:docPartObj>
        <w:docPartGallery w:val="Page Numbers (Top of Page)"/>
        <w:docPartUnique/>
      </w:docPartObj>
    </w:sdtPr>
    <w:sdtContent>
      <w:p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67</cp:revision>
  <cp:lastPrinted>2026-03-23T07:35:00Z</cp:lastPrinted>
  <dcterms:created xsi:type="dcterms:W3CDTF">2024-10-07T09:03:00Z</dcterms:created>
  <dcterms:modified xsi:type="dcterms:W3CDTF">2026-06-02T14:09:00Z</dcterms:modified>
</cp:coreProperties>
</file>