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>
      <w:pPr>
        <w:spacing w:before="200"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ЗАЯВКА НА ПОКУПКУ «26/31-2 Иммунобиологические лекарственные средства (зарегистрированные/ незарегистрированные ЛС) (лот 1)»</w:t>
      </w:r>
    </w:p>
    <w:p>
      <w:pPr>
        <w:spacing w:before="200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29.05.2026</w:t>
      </w:r>
    </w:p>
    <w:p>
      <w:pPr>
        <w:spacing w:after="0" w:line="240" w:lineRule="auto"/>
        <w:ind w:firstLine="450"/>
        <w:jc w:val="center"/>
        <w:rPr>
          <w:rFonts w:ascii="Times New Roman" w:eastAsia="Times New Roman" w:hAnsi="Times New Roman" w:cs="Times New Roman"/>
          <w:color w:val="242424"/>
          <w:sz w:val="30"/>
          <w:szCs w:val="30"/>
          <w:lang w:eastAsia="ru-RU"/>
        </w:rPr>
      </w:pPr>
    </w:p>
    <w:tbl>
      <w:tblPr>
        <w:tblW w:w="9773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633"/>
        <w:gridCol w:w="7140"/>
      </w:tblGrid>
      <w:tr>
        <w:tc>
          <w:tcPr>
            <w:tcW w:w="97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I. Сведения о виде процедуры государственной закупки</w:t>
            </w:r>
          </w:p>
        </w:tc>
      </w:tr>
      <w:tr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Вид процедуры государственной закупки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Процедура закупки из одного источника на электронной торговой площадке</w:t>
            </w:r>
          </w:p>
        </w:tc>
      </w:tr>
      <w:tr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Основание выбора процедуры закупки из одного источника с указанием нормы законодательства о государственных закупках, предоставляющей такое право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П.</w:t>
            </w:r>
            <w:r>
              <w:rPr>
                <w:rFonts w:ascii="Times New Roman" w:eastAsia="Times New Roman" w:hAnsi="Times New Roman" w:cs="Times New Roman"/>
                <w:u w:val="single"/>
                <w:lang w:eastAsia="ru-RU"/>
              </w:rPr>
              <w:t xml:space="preserve">7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приложения к Закону Республики Беларусь от 13 июля 2012 г. № 419-З «О государственных закупках товаров (работ, услуг)» (далее - Закон № 419-З), ч. 1 подп. 1.1 п. 1 постановления Совета Министров Республики Беларусь от 08.05.2025 № 252 «О случаях и порядке проведения процедуры закупки из одного источника на электронной торговой площадке»</w:t>
            </w:r>
          </w:p>
        </w:tc>
      </w:tr>
      <w:tr>
        <w:tc>
          <w:tcPr>
            <w:tcW w:w="9773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II. Сведения о заказчике</w:t>
            </w:r>
          </w:p>
        </w:tc>
      </w:tr>
      <w:tr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Наименование (фамилия, собственное имя, отчество (если таковое имеется) - для индивидуального предпринимателя)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Изложено в Приложении №2</w:t>
            </w:r>
          </w:p>
        </w:tc>
      </w:tr>
      <w:tr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Место нахождения (место жительства)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Изложено в Приложении №2</w:t>
            </w:r>
          </w:p>
        </w:tc>
      </w:tr>
      <w:tr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Учетный номер плательщика (при наличии)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Изложено в Приложении №2</w:t>
            </w:r>
          </w:p>
        </w:tc>
      </w:tr>
      <w:tr>
        <w:tc>
          <w:tcPr>
            <w:tcW w:w="9773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III. Сведения об организаторе</w:t>
            </w:r>
          </w:p>
        </w:tc>
      </w:tr>
      <w:tr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Наименование юридического лица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Торгово-производственное республиканское унитарное предприятие «БЕЛФАРМАЦИЯ»</w:t>
            </w:r>
          </w:p>
        </w:tc>
      </w:tr>
      <w:tr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Место нахождения 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220005, г. Минск, ул. В.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Хоружей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>, 11</w:t>
            </w:r>
          </w:p>
        </w:tc>
      </w:tr>
      <w:tr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Учетный номер плательщика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100364237</w:t>
            </w:r>
          </w:p>
        </w:tc>
      </w:tr>
      <w:tr>
        <w:tc>
          <w:tcPr>
            <w:tcW w:w="9773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IV. Сведения о предмете государственной закупки (Приложение №1)</w:t>
            </w:r>
          </w:p>
        </w:tc>
      </w:tr>
      <w:tr>
        <w:tc>
          <w:tcPr>
            <w:tcW w:w="9773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V. Сведения о процедуре закупки из одного источника</w:t>
            </w:r>
          </w:p>
        </w:tc>
      </w:tr>
      <w:tr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Порядок предоставления документов</w:t>
            </w:r>
          </w:p>
        </w:tc>
        <w:tc>
          <w:tcPr>
            <w:tcW w:w="663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Документы и (или) сведения предоставляются поставщиками на белорусском и (или) русском языках посредством их размещения на электронной торговой площадке в сроки, определенные заказчиком (организатором), с обязательным их подписанием электронной цифровой подписью.</w:t>
            </w:r>
          </w:p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Копии документов, исполненных на иностранном языке, представляются с переводом на русский и (или) белорусский языки.</w:t>
            </w:r>
          </w:p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</w:rPr>
              <w:t>Вместе с предложением рекомендуем поставщику предоставить информацию для подготовки договора/ контракта по форме приложения 4 к заявке на покупку.</w:t>
            </w:r>
          </w:p>
        </w:tc>
      </w:tr>
      <w:tr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Конечная дата (дата истечения срока) предоставления документов и (или) сведений поставщиками 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05.06.2026 </w:t>
            </w:r>
          </w:p>
        </w:tc>
      </w:tr>
      <w:tr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Срок размещения поставщиком на электронной торговой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площадке запроса о разъяснении заявки на покупку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02.06.2026 до 17.00</w:t>
            </w:r>
          </w:p>
        </w:tc>
      </w:tr>
      <w:tr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Срок размещения заказчиком на электронной торговой площадке ответа на запрос поставщика   о разъяснении заявки на покупку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04.06.2026 до 17.00</w:t>
            </w:r>
          </w:p>
        </w:tc>
      </w:tr>
      <w:tr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Предельная стоимость предмета государственной закупки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Изложено в Приложении № 1</w:t>
            </w:r>
          </w:p>
        </w:tc>
      </w:tr>
      <w:tr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Требования к содержанию предложения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В случае, если лекарственное средство является зарегистрированным в Республике Беларусь, качество поставляемого товара должно соответствовать нормативно-технической документации, зарегистрированной в Министерстве здравоохранения Республики Беларусь.</w:t>
            </w:r>
          </w:p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Допускаются к участию в процедуре государственной закупки зарегистрированных лекарственных средств лекарственные средства в упаковке с дизайном, отличным от согласованного Министерством здравоохранения Республики Беларусь, произведенные для российского рынка с приложением к каждой упаковке инструкции, согласованной при регистрации в Республике Беларусь;</w:t>
            </w:r>
          </w:p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произведенные для иных рынков, при предоставлении русскоязычной инструкции (согласованной при регистрации в Республике Беларусь) для каждой упаковки поставляемого лекарственного средства, для использования исключительно в условиях стационара, либо с русскоязычным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стикером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и с предоставлением русскоязычной инструкции (согласованной при регистрации в Республике Беларусь) для каждой упаковки поставляемого лекарственного средства для использования в условиях стационара и реализации через аптечную сеть предприятий системы «Фармация».</w:t>
            </w:r>
          </w:p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lang w:eastAsia="ru-RU"/>
              </w:rPr>
              <w:t>В случае, если по результатам процедуры государственной закупки победителем будет определен поставщик, предложивший к поставке лекарственное средство в упаковке с дизайном для иных рынков, при поставке товара поставщик должен представить полный пакет документов для получения разрешения на реализацию в дизайне упаковки, отличном от согласованного Министерством здравоохранения Республики Беларусь, в соответствии с законодательством Республики Беларусь, в том числе ходатайство от производителя или держателя регистрационного удостоверения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Также допускаются к участию в процедуре государственной закупки зарегистрированных лекарственных средств лекарственные средства с дизайном упаковки и инструкцией, соответствующими ранее согласованным дизайну и инструкции, при условии, что данные лекарственные средства произведены не позднее 180 дней с момента утверждения изменений.</w:t>
            </w:r>
          </w:p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Качество поставляемого товара должно соответствовать нормативно-технической документации, зарегистрированной в Министерстве здравоохранения Республики Беларусь.</w:t>
            </w:r>
          </w:p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lang w:eastAsia="ru-RU"/>
              </w:rPr>
              <w:t xml:space="preserve">В случае, если поставщик предлагает к поставке лекарственное средство, на которое зарегистрирована предельная отпускная цена производителя, то предложение такого участника не может ее превышать. Предложение поставщика на поставку лекарственного средства отклоняется, если закупаемое лекарственное средство включено в перечень лекарственных препаратов, предельные отпускные цены на которые подлежат регистрации, но цена на предложенное к поставке </w:t>
            </w:r>
            <w:r>
              <w:rPr>
                <w:rFonts w:ascii="Times New Roman" w:eastAsia="Times New Roman" w:hAnsi="Times New Roman" w:cs="Times New Roman"/>
                <w:i/>
                <w:lang w:eastAsia="ru-RU"/>
              </w:rPr>
              <w:lastRenderedPageBreak/>
              <w:t>лекарственное средство не зарегистрирована (отсутствует в «Государственном реестре предельных отпускных цен производителей на лекарственные средства»).</w:t>
            </w:r>
          </w:p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Допускаются к поставке лекарственные средства незарегистрированные в Республике Беларусь.</w:t>
            </w:r>
          </w:p>
          <w:p>
            <w:pPr>
              <w:pStyle w:val="ConsPlusNormal"/>
              <w:ind w:firstLine="540"/>
              <w:jc w:val="both"/>
              <w:rPr>
                <w:b/>
                <w:color w:val="000000"/>
                <w:sz w:val="22"/>
                <w:szCs w:val="22"/>
                <w:u w:val="single"/>
              </w:rPr>
            </w:pPr>
            <w:r>
              <w:rPr>
                <w:b/>
                <w:color w:val="000000"/>
                <w:sz w:val="22"/>
                <w:szCs w:val="22"/>
                <w:u w:val="single"/>
              </w:rPr>
              <w:t>Лекарственный препарат должен соответствовать следующим требованиям.</w:t>
            </w:r>
          </w:p>
          <w:p>
            <w:pPr>
              <w:pStyle w:val="ConsPlusNormal"/>
              <w:ind w:firstLine="540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1.1.</w:t>
            </w:r>
            <w:r>
              <w:rPr>
                <w:color w:val="000000"/>
                <w:sz w:val="22"/>
                <w:szCs w:val="22"/>
              </w:rPr>
              <w:tab/>
              <w:t>Лекарственные средства по разделам плана J06 «Иммунные сыворотки и иммуноглобулины», J07 «Вакцины», V01 «Аллергены» (Аллерген туберкулезный рекомбинантный), V04 «Диагностические препараты» (Туберкулин) применяются для профилактики, лечения и диагностики инфекционных заболеваний у детей и взрослых, в том числе в соответствии со сроками проведения профилактических прививок и возможностью одновременного введения с лекарственными препаратами, определенными Национальным календарем профилактических прививок, перечнем профилактических прививок по эпидемическим показаниям.</w:t>
            </w:r>
          </w:p>
          <w:p>
            <w:pPr>
              <w:pStyle w:val="ConsPlusNormal"/>
              <w:ind w:firstLine="540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1.2.</w:t>
            </w:r>
            <w:r>
              <w:rPr>
                <w:color w:val="000000"/>
                <w:sz w:val="22"/>
                <w:szCs w:val="22"/>
              </w:rPr>
              <w:tab/>
              <w:t>Перечень иммунобиологических лекарственных препаратов с установленной формой выпуска к закупке на 2026 год по каждой позиции указан в Приложении 1.</w:t>
            </w:r>
          </w:p>
          <w:p>
            <w:pPr>
              <w:pStyle w:val="ConsPlusNormal"/>
              <w:ind w:firstLine="540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2.</w:t>
            </w:r>
            <w:r>
              <w:rPr>
                <w:color w:val="000000"/>
                <w:sz w:val="22"/>
                <w:szCs w:val="22"/>
              </w:rPr>
              <w:tab/>
              <w:t>ДОПОЛНИТЕЛЬНЫЕ УСЛОВИЯ</w:t>
            </w:r>
          </w:p>
          <w:p>
            <w:pPr>
              <w:pStyle w:val="ConsPlusNormal"/>
              <w:ind w:firstLine="540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2.1.</w:t>
            </w:r>
            <w:r>
              <w:rPr>
                <w:color w:val="000000"/>
                <w:sz w:val="22"/>
                <w:szCs w:val="22"/>
              </w:rPr>
              <w:tab/>
              <w:t>Лекарственные средства по разделам плана J06 «Иммунные сыворотки и иммуноглобулины», J07 «Вакцины», V01 «Аллергены» (Аллерген туберкулезный рекомбинантный), V04 «Диагностические препараты» (Туберкулин) поставляются и хранятся при соблюдении условий «</w:t>
            </w:r>
            <w:proofErr w:type="spellStart"/>
            <w:r>
              <w:rPr>
                <w:color w:val="000000"/>
                <w:sz w:val="22"/>
                <w:szCs w:val="22"/>
              </w:rPr>
              <w:t>холодовой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цепи», установленных производителем к конкретным препаратам.</w:t>
            </w:r>
          </w:p>
          <w:p>
            <w:pPr>
              <w:pStyle w:val="ConsPlusNormal"/>
              <w:ind w:firstLine="540"/>
              <w:jc w:val="both"/>
              <w:rPr>
                <w:i/>
                <w:color w:val="000000"/>
                <w:sz w:val="22"/>
                <w:szCs w:val="22"/>
              </w:rPr>
            </w:pPr>
            <w:r>
              <w:rPr>
                <w:i/>
                <w:color w:val="000000"/>
                <w:sz w:val="22"/>
                <w:szCs w:val="22"/>
              </w:rPr>
              <w:t>Обоснование: требование Санитарных норм и правил «Санитарно-эпидемиологические требования к транспортировке, хранению и использованию иммунобиологических лекарственных средств, проведению профилактических прививок, выявлению, регистрации и расследованию побочных реакций после профилактических прививок» и признании утратившим силу постановления Министерства здравоохранения Республики Беларусь от 6 января 2010 г. №3, утвержденных постановлением Министерства здравоохранения Республики Беларусь от 2 декабря 2013 г. № 114; требование Надлежащей практики хранения лекарственных средств, утвержденной постановлением Министерства здравоохранения Республики Беларусь от 23 октября 2020 г. № 88.</w:t>
            </w:r>
          </w:p>
          <w:p>
            <w:pPr>
              <w:pStyle w:val="ConsPlusNormal"/>
              <w:ind w:firstLine="540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2.2.</w:t>
            </w:r>
            <w:r>
              <w:rPr>
                <w:color w:val="000000"/>
                <w:sz w:val="22"/>
                <w:szCs w:val="22"/>
              </w:rPr>
              <w:tab/>
              <w:t xml:space="preserve">Контейнеры, в которых поставляются лекарственные средства по разделам плана J06 «Иммунные сыворотки и иммуноглобулины», J07 «Вакцины», V01 «Аллергены» (Аллерген туберкулезный рекомбинантный), V04 «Диагностические препараты» (Туберкулин), должны быть оборудованы </w:t>
            </w:r>
            <w:proofErr w:type="spellStart"/>
            <w:r>
              <w:rPr>
                <w:color w:val="000000"/>
                <w:sz w:val="22"/>
                <w:szCs w:val="22"/>
              </w:rPr>
              <w:t>терморегистраторами</w:t>
            </w:r>
            <w:proofErr w:type="spellEnd"/>
            <w:r>
              <w:rPr>
                <w:color w:val="000000"/>
                <w:sz w:val="22"/>
                <w:szCs w:val="22"/>
              </w:rPr>
              <w:t>, позволяющими контролировать температуру в контейнере и проводить оценку её соблюдения в течение всего периода транспортировки.</w:t>
            </w:r>
          </w:p>
          <w:p>
            <w:pPr>
              <w:pStyle w:val="ConsPlusNormal"/>
              <w:ind w:firstLine="540"/>
              <w:jc w:val="both"/>
              <w:rPr>
                <w:i/>
                <w:color w:val="000000"/>
                <w:sz w:val="22"/>
                <w:szCs w:val="22"/>
              </w:rPr>
            </w:pPr>
            <w:r>
              <w:rPr>
                <w:i/>
                <w:color w:val="000000"/>
                <w:sz w:val="22"/>
                <w:szCs w:val="22"/>
              </w:rPr>
              <w:t>Обоснование: требование Санитарных норм и правил «Санитарно-эпидемиологические требования к транспортировке, хранению и использованию иммунобиологических лекарственных средств, проведению профилактических прививок, выявлению, регистрации и расследованию побочных реакций после профилактических прививок» и признании утратившим силу постановления Министерства здравоохранения Республики Беларусь от 6 января 2010 г. №3, утвержденных постановлением Министерства здравоохранения Республики Беларусь от 2 декабря 2013 г. №114; требование Надлежащей практики хранения лекарственных средств, утвержденной постановлением Министерства здравоохранения Республики Беларусь от 23 октября 2020 г. № 88.</w:t>
            </w:r>
          </w:p>
          <w:p>
            <w:pPr>
              <w:pStyle w:val="ConsPlusNormal"/>
              <w:ind w:firstLine="540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3.Остаточный срок годности лекарственных средств по разделам плана J06 «Иммунные сыворотки и иммуноглобулины», J07 «Вакцины», </w:t>
            </w:r>
            <w:r>
              <w:rPr>
                <w:color w:val="000000"/>
                <w:sz w:val="22"/>
                <w:szCs w:val="22"/>
              </w:rPr>
              <w:lastRenderedPageBreak/>
              <w:t>V01 «Аллергены» (Аллерген туберкулезный рекомбинантный), V04 «Диагностические препараты» (Туберкулин) на дату поставки должен быть:</w:t>
            </w:r>
          </w:p>
          <w:p>
            <w:pPr>
              <w:pStyle w:val="ConsPlusNormal"/>
              <w:ind w:firstLine="540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3.3.1. не менее 50% от установленного производителем на дату поставки, при сроке годности два года и более;</w:t>
            </w:r>
          </w:p>
          <w:p>
            <w:pPr>
              <w:pStyle w:val="ConsPlusNormal"/>
              <w:ind w:firstLine="540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3.3.2. не менее 70% от установленного производителем на дату поставки, при сроке годности менее двух лет;</w:t>
            </w:r>
          </w:p>
          <w:p>
            <w:pPr>
              <w:pStyle w:val="ConsPlusNormal"/>
              <w:ind w:firstLine="540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3.3.3. менее 50%, но не менее 30% от установленного производителем на дату поставки на объем, не превышающий квартальную потребность, по сниженной цене, при сроке годности два года и более;</w:t>
            </w:r>
          </w:p>
          <w:p>
            <w:pPr>
              <w:pStyle w:val="ConsPlusNormal"/>
              <w:ind w:firstLine="540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3.3.4. менее 70%, но не менее 50% от установленного производителем на дату поставки на объем, не превышающий квартальную потребность, по сниженной цене, при сроке годности менее двух лет.</w:t>
            </w:r>
          </w:p>
          <w:p>
            <w:pPr>
              <w:pStyle w:val="ConsPlusNormal"/>
              <w:ind w:firstLine="540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УСЛОВИЯ ПРОВЕДЕНИЯ ЗАКУПКИ</w:t>
            </w:r>
          </w:p>
          <w:p>
            <w:pPr>
              <w:pStyle w:val="ConsPlusNormal"/>
              <w:ind w:firstLine="540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4.1. Для присуждения контрактов на закупку лекарственных средств, по разделам плана J06 «Иммунные сыворотки и иммуноглобулины», J07 «Вакцины», V01 «Аллергены» (Аллерген туберкулезный рекомбинантный), V04 «Диагностические препараты» (Туберкулин) будут использоваться следующие критерии:</w:t>
            </w:r>
          </w:p>
          <w:p>
            <w:pPr>
              <w:pStyle w:val="ConsPlusNormal"/>
              <w:ind w:firstLine="540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соответствие предложений требованиям заявки на закупку;</w:t>
            </w:r>
          </w:p>
          <w:p>
            <w:pPr>
              <w:pStyle w:val="ConsPlusNormal"/>
              <w:ind w:firstLine="540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возможность поставки в соответствии с графиком поставок; </w:t>
            </w:r>
          </w:p>
          <w:p>
            <w:pPr>
              <w:pStyle w:val="ConsPlusNormal"/>
              <w:ind w:firstLine="540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наименьшая цена.</w:t>
            </w:r>
          </w:p>
          <w:p>
            <w:pPr>
              <w:pStyle w:val="ConsPlusNormal"/>
              <w:ind w:firstLine="540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Допускаются к закупке по разделам плана J06 «Иммунные сыворотки и иммуноглобулины», J07 «Вакцины», V01 «Аллергены» (Аллерген туберкулезный рекомбинантный), V04 «Диагностические препараты» (Туберкулин) зарегистрированные в Республике Беларусь лекарственные средства, а также лекарственные средства, обозначенные «*» – зарегистрированные/условно зарегистрированные/незарегистрированные.</w:t>
            </w:r>
          </w:p>
          <w:p>
            <w:pPr>
              <w:pStyle w:val="ConsPlusNormal"/>
              <w:ind w:firstLine="540"/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Приложение 1 </w:t>
            </w:r>
          </w:p>
          <w:p>
            <w:pPr>
              <w:pStyle w:val="ConsPlusNormal"/>
              <w:ind w:firstLine="540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Перечень иммунобиологических лекарственных препаратов с установленной формой выпуска для проведения процедур централизованных государственных закупок на 2026 г.</w:t>
            </w:r>
          </w:p>
          <w:tbl>
            <w:tblPr>
              <w:tblW w:w="0" w:type="auto"/>
              <w:tblInd w:w="113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459"/>
              <w:gridCol w:w="1363"/>
              <w:gridCol w:w="989"/>
              <w:gridCol w:w="1647"/>
              <w:gridCol w:w="1494"/>
              <w:gridCol w:w="1035"/>
            </w:tblGrid>
            <w:tr>
              <w:tc>
                <w:tcPr>
                  <w:tcW w:w="459" w:type="dxa"/>
                  <w:shd w:val="clear" w:color="auto" w:fill="auto"/>
                  <w:vAlign w:val="center"/>
                </w:tcPr>
                <w:p>
                  <w:pPr>
                    <w:spacing w:after="0"/>
                    <w:jc w:val="center"/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  <w:t>№</w:t>
                  </w:r>
                </w:p>
                <w:p>
                  <w:pPr>
                    <w:spacing w:after="0"/>
                    <w:jc w:val="center"/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  <w:t>п/п</w:t>
                  </w:r>
                </w:p>
              </w:tc>
              <w:tc>
                <w:tcPr>
                  <w:tcW w:w="1363" w:type="dxa"/>
                  <w:shd w:val="clear" w:color="auto" w:fill="auto"/>
                  <w:vAlign w:val="center"/>
                </w:tcPr>
                <w:p>
                  <w:pPr>
                    <w:spacing w:after="0"/>
                    <w:jc w:val="center"/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  <w:t>Наименование</w:t>
                  </w:r>
                </w:p>
              </w:tc>
              <w:tc>
                <w:tcPr>
                  <w:tcW w:w="989" w:type="dxa"/>
                  <w:shd w:val="clear" w:color="auto" w:fill="auto"/>
                  <w:vAlign w:val="center"/>
                </w:tcPr>
                <w:p>
                  <w:pPr>
                    <w:spacing w:after="0"/>
                    <w:jc w:val="center"/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  <w:t>Форма выпуска</w:t>
                  </w:r>
                </w:p>
              </w:tc>
              <w:tc>
                <w:tcPr>
                  <w:tcW w:w="1647" w:type="dxa"/>
                  <w:shd w:val="clear" w:color="auto" w:fill="auto"/>
                  <w:vAlign w:val="center"/>
                </w:tcPr>
                <w:p>
                  <w:pPr>
                    <w:spacing w:after="0"/>
                    <w:jc w:val="center"/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  <w:t>Обоснование (дополнение) формы выпуска</w:t>
                  </w:r>
                </w:p>
              </w:tc>
              <w:tc>
                <w:tcPr>
                  <w:tcW w:w="1494" w:type="dxa"/>
                  <w:shd w:val="clear" w:color="auto" w:fill="auto"/>
                  <w:vAlign w:val="center"/>
                </w:tcPr>
                <w:p>
                  <w:pPr>
                    <w:spacing w:after="0"/>
                    <w:jc w:val="center"/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  <w:t>Целевые группы, которым показано введение ИЛП</w:t>
                  </w:r>
                </w:p>
              </w:tc>
              <w:tc>
                <w:tcPr>
                  <w:tcW w:w="1109" w:type="dxa"/>
                  <w:shd w:val="clear" w:color="auto" w:fill="auto"/>
                  <w:vAlign w:val="center"/>
                </w:tcPr>
                <w:p>
                  <w:pPr>
                    <w:spacing w:after="0"/>
                    <w:jc w:val="center"/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  <w:t>Кратность введения ИЛП целевым группам</w:t>
                  </w:r>
                </w:p>
              </w:tc>
            </w:tr>
            <w:tr>
              <w:tc>
                <w:tcPr>
                  <w:tcW w:w="459" w:type="dxa"/>
                  <w:shd w:val="clear" w:color="auto" w:fill="auto"/>
                  <w:vAlign w:val="center"/>
                </w:tcPr>
                <w:p>
                  <w:pPr>
                    <w:spacing w:after="0"/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  <w:t>1.</w:t>
                  </w:r>
                </w:p>
              </w:tc>
              <w:tc>
                <w:tcPr>
                  <w:tcW w:w="1363" w:type="dxa"/>
                  <w:shd w:val="clear" w:color="auto" w:fill="auto"/>
                  <w:vAlign w:val="center"/>
                </w:tcPr>
                <w:p>
                  <w:pPr>
                    <w:spacing w:after="0"/>
                    <w:jc w:val="center"/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  <w:t>Вакцина для профилактики дифтерии, столбняка и коклюша (бесклеточная) *</w:t>
                  </w:r>
                </w:p>
              </w:tc>
              <w:tc>
                <w:tcPr>
                  <w:tcW w:w="989" w:type="dxa"/>
                  <w:shd w:val="clear" w:color="auto" w:fill="auto"/>
                  <w:vAlign w:val="center"/>
                </w:tcPr>
                <w:p>
                  <w:pPr>
                    <w:spacing w:after="0"/>
                    <w:jc w:val="center"/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  <w:t>суспензия для инъекций в/м 1 доз 0,5 мл</w:t>
                  </w:r>
                </w:p>
              </w:tc>
              <w:tc>
                <w:tcPr>
                  <w:tcW w:w="1647" w:type="dxa"/>
                  <w:shd w:val="clear" w:color="auto" w:fill="auto"/>
                  <w:vAlign w:val="center"/>
                </w:tcPr>
                <w:p>
                  <w:pPr>
                    <w:spacing w:after="0"/>
                    <w:jc w:val="center"/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  <w:t>Суспензия для внутримышечного введения</w:t>
                  </w:r>
                </w:p>
              </w:tc>
              <w:tc>
                <w:tcPr>
                  <w:tcW w:w="1494" w:type="dxa"/>
                  <w:shd w:val="clear" w:color="auto" w:fill="auto"/>
                  <w:vAlign w:val="center"/>
                </w:tcPr>
                <w:p>
                  <w:pPr>
                    <w:spacing w:after="0"/>
                    <w:jc w:val="center"/>
                    <w:rPr>
                      <w:rFonts w:ascii="Times New Roman" w:eastAsia="Calibri" w:hAnsi="Times New Roman" w:cs="Times New Roman"/>
                      <w:sz w:val="18"/>
                      <w:szCs w:val="18"/>
                      <w:vertAlign w:val="superscript"/>
                    </w:rPr>
                  </w:pPr>
                  <w:r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  <w:t>Дети 2,3,4,18 мес. По индивидуальной схеме</w:t>
                  </w:r>
                  <w:r>
                    <w:rPr>
                      <w:rFonts w:ascii="Times New Roman" w:eastAsia="Calibri" w:hAnsi="Times New Roman" w:cs="Times New Roman"/>
                      <w:sz w:val="18"/>
                      <w:szCs w:val="18"/>
                      <w:vertAlign w:val="superscript"/>
                    </w:rPr>
                    <w:t>1,2</w:t>
                  </w:r>
                </w:p>
                <w:p>
                  <w:pPr>
                    <w:spacing w:after="0"/>
                    <w:jc w:val="center"/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109" w:type="dxa"/>
                  <w:shd w:val="clear" w:color="auto" w:fill="auto"/>
                  <w:vAlign w:val="center"/>
                </w:tcPr>
                <w:p>
                  <w:pPr>
                    <w:spacing w:after="0"/>
                    <w:jc w:val="center"/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  <w:t>По одной дозе в указанный возраст</w:t>
                  </w:r>
                </w:p>
              </w:tc>
            </w:tr>
          </w:tbl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Примечание: </w:t>
            </w:r>
          </w:p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 – Постановление Министерства здравоохранения Республики Беларусь от 17.05.2018 № 42 «О профилактических прививках» (с изменениями в редакции постановления Министерства здравоохранения Республики Беларусь от 13.01.2025 № 3).</w:t>
            </w:r>
          </w:p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 – Приказ Министерства здравоохранения Республики Беларусь от 27.02.2014 № 191 «Об утверждении Инструкции по тактике проведения профилактических прививок среди населения в Республике Беларусь».</w:t>
            </w:r>
          </w:p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Требования к содержанию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ответов на заявку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lastRenderedPageBreak/>
              <w:t>Ответ на заявку должен содержать следующие документы:</w:t>
            </w:r>
          </w:p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u w:val="single"/>
                <w:lang w:eastAsia="ru-RU"/>
              </w:rPr>
              <w:lastRenderedPageBreak/>
              <w:t>*в случае предложения к поставке зарегистрированного ЛП:</w:t>
            </w:r>
          </w:p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 заполненную спецификацию по установленной форме,</w:t>
            </w:r>
          </w:p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 регистрационное удостоверение предлагаемого к закупке лекарственного средства,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зарегистрированного в Республике Беларусь по национальной процедуре или зарегистрированного в Республике Беларусь по процедуре Евразийского экономического союза,</w:t>
            </w:r>
          </w:p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 развернутое описание характеристик лекарственного средства (инструкцию по медицинскому применению),</w:t>
            </w:r>
          </w:p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 иные документы и (или) сведения согласно заявки на покупку.</w:t>
            </w:r>
          </w:p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*в случае предложения к поставке незарегистрированного ЛП:</w:t>
            </w:r>
          </w:p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 заполненную спецификацию по установленной форме,</w:t>
            </w:r>
            <w:r>
              <w:rPr>
                <w:rFonts w:ascii="Times New Roman" w:eastAsia="Times New Roman" w:hAnsi="Times New Roman" w:cs="Times New Roman"/>
                <w:i/>
                <w:lang w:eastAsia="ru-RU"/>
              </w:rPr>
              <w:t xml:space="preserve"> </w:t>
            </w:r>
          </w:p>
          <w:p>
            <w:pPr>
              <w:pStyle w:val="ConsPlusNormal"/>
              <w:ind w:firstLine="567"/>
              <w:jc w:val="both"/>
              <w:rPr>
                <w:color w:val="000000"/>
                <w:sz w:val="22"/>
                <w:szCs w:val="22"/>
              </w:rPr>
            </w:pPr>
            <w:bookmarkStart w:id="0" w:name="_Hlk165978353"/>
            <w:r>
              <w:rPr>
                <w:color w:val="000000"/>
                <w:sz w:val="22"/>
                <w:szCs w:val="22"/>
              </w:rPr>
              <w:t>1. Копии одного из следующих документов с переводом на русский (белорусский) язык:</w:t>
            </w:r>
          </w:p>
          <w:bookmarkEnd w:id="0"/>
          <w:p>
            <w:pPr>
              <w:widowControl w:val="0"/>
              <w:autoSpaceDE w:val="0"/>
              <w:autoSpaceDN w:val="0"/>
              <w:ind w:firstLine="709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1.1. графическое изображение экрана (скриншот) </w:t>
            </w:r>
            <w:r>
              <w:rPr>
                <w:rFonts w:ascii="Times New Roman" w:hAnsi="Times New Roman" w:cs="Times New Roman"/>
              </w:rPr>
              <w:br/>
              <w:t xml:space="preserve">интернет - страницы, распечатка с электронной базы, подтверждающие регистрацию, либо копия документа о регистрации лекарственного препарата - сертификат фармацевтического продукта (далее - СРР), или регистрационное удостоверение, или </w:t>
            </w:r>
            <w:proofErr w:type="spellStart"/>
            <w:r>
              <w:rPr>
                <w:rFonts w:ascii="Times New Roman" w:hAnsi="Times New Roman" w:cs="Times New Roman"/>
              </w:rPr>
              <w:t>free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sale</w:t>
            </w:r>
            <w:proofErr w:type="spellEnd"/>
            <w:r>
              <w:rPr>
                <w:rFonts w:ascii="Times New Roman" w:hAnsi="Times New Roman" w:cs="Times New Roman"/>
              </w:rPr>
              <w:t xml:space="preserve"> сертификат (сертификат на свободную продажу) - в одном из следующих государств (Австралийский Союз, Соединенные Штаты Америки, Канада, Швейцарская Конфедерация, Япония, Австрийская Республика, Соединенное Королевство Великобритании и Северной Ирландии, Федеративная Республика Германия, Королевство Дания, Королевство Нидерландов, Королевство Швеция, Испания, Португальская Республика), а также </w:t>
            </w:r>
            <w:proofErr w:type="spellStart"/>
            <w:r>
              <w:rPr>
                <w:rFonts w:ascii="Times New Roman" w:hAnsi="Times New Roman" w:cs="Times New Roman"/>
              </w:rPr>
              <w:t>SmPC</w:t>
            </w:r>
            <w:proofErr w:type="spellEnd"/>
            <w:r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</w:rPr>
              <w:t>summary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of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product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characteristics</w:t>
            </w:r>
            <w:proofErr w:type="spellEnd"/>
            <w:r>
              <w:rPr>
                <w:rFonts w:ascii="Times New Roman" w:hAnsi="Times New Roman" w:cs="Times New Roman"/>
              </w:rPr>
              <w:t xml:space="preserve"> - общая характеристика лекарственного препарата) либо развернутое описание характеристик предлагаемого к закупке лекарственного препарата - инструкцию по медицинскому применению, выданные для страны, регистрация в которой подтверждена;</w:t>
            </w:r>
          </w:p>
          <w:p>
            <w:pPr>
              <w:widowControl w:val="0"/>
              <w:autoSpaceDE w:val="0"/>
              <w:autoSpaceDN w:val="0"/>
              <w:ind w:firstLine="709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1.2. графическое изображение экрана (скриншот) интернет - страницы Европейского агентства лекарственных препаратов либо распечатка с электронной базы Европейского агентства лекарственных препаратов либо копия документа, выданного Европейским агентством лекарственных препаратов (ЕАЛП, англ. </w:t>
            </w:r>
            <w:proofErr w:type="spellStart"/>
            <w:r>
              <w:rPr>
                <w:rFonts w:ascii="Times New Roman" w:hAnsi="Times New Roman" w:cs="Times New Roman"/>
              </w:rPr>
              <w:t>European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Medicines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Agency</w:t>
            </w:r>
            <w:proofErr w:type="spellEnd"/>
            <w:r>
              <w:rPr>
                <w:rFonts w:ascii="Times New Roman" w:hAnsi="Times New Roman" w:cs="Times New Roman"/>
              </w:rPr>
              <w:t xml:space="preserve"> (EMA)) по результатам централизованной процедуры регистрации - </w:t>
            </w:r>
            <w:proofErr w:type="spellStart"/>
            <w:r>
              <w:rPr>
                <w:rFonts w:ascii="Times New Roman" w:hAnsi="Times New Roman" w:cs="Times New Roman"/>
              </w:rPr>
              <w:t>Certificate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of</w:t>
            </w:r>
            <w:proofErr w:type="spellEnd"/>
            <w:r>
              <w:rPr>
                <w:rFonts w:ascii="Times New Roman" w:hAnsi="Times New Roman" w:cs="Times New Roman"/>
              </w:rPr>
              <w:t xml:space="preserve"> a </w:t>
            </w:r>
            <w:proofErr w:type="spellStart"/>
            <w:r>
              <w:rPr>
                <w:rFonts w:ascii="Times New Roman" w:hAnsi="Times New Roman" w:cs="Times New Roman"/>
              </w:rPr>
              <w:t>Medicinal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Product</w:t>
            </w:r>
            <w:proofErr w:type="spellEnd"/>
            <w:r>
              <w:rPr>
                <w:rFonts w:ascii="Times New Roman" w:hAnsi="Times New Roman" w:cs="Times New Roman"/>
              </w:rPr>
              <w:t xml:space="preserve">, а также </w:t>
            </w:r>
            <w:proofErr w:type="spellStart"/>
            <w:r>
              <w:rPr>
                <w:rFonts w:ascii="Times New Roman" w:hAnsi="Times New Roman" w:cs="Times New Roman"/>
              </w:rPr>
              <w:t>SmPC</w:t>
            </w:r>
            <w:proofErr w:type="spellEnd"/>
            <w:r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</w:rPr>
              <w:t>summary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of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product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characteristics</w:t>
            </w:r>
            <w:proofErr w:type="spellEnd"/>
            <w:r>
              <w:rPr>
                <w:rFonts w:ascii="Times New Roman" w:hAnsi="Times New Roman" w:cs="Times New Roman"/>
              </w:rPr>
              <w:t xml:space="preserve"> – общая характеристика лекарственного препарата), выданное ЕАЛП, либо развернутое описание характеристик предлагаемого к закупке лекарственного препарата – инструкцию по медицинскому применению;</w:t>
            </w:r>
          </w:p>
          <w:p>
            <w:pPr>
              <w:widowControl w:val="0"/>
              <w:autoSpaceDE w:val="0"/>
              <w:autoSpaceDN w:val="0"/>
              <w:ind w:firstLine="709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1.3. графическое изображение экрана (скриншот) интернет-страницы Всемирной Организации Здравоохранения (далее – ВОЗ) (адрес в сети интернет https://extranet.who.int/prequal/content/prequalified-lists/medicines), подтверждающее, что предлагаемый лекарственный препарат </w:t>
            </w:r>
            <w:proofErr w:type="spellStart"/>
            <w:r>
              <w:rPr>
                <w:rFonts w:ascii="Times New Roman" w:hAnsi="Times New Roman" w:cs="Times New Roman"/>
              </w:rPr>
              <w:t>преквалифицирован</w:t>
            </w:r>
            <w:proofErr w:type="spellEnd"/>
            <w:r>
              <w:rPr>
                <w:rFonts w:ascii="Times New Roman" w:hAnsi="Times New Roman" w:cs="Times New Roman"/>
              </w:rPr>
              <w:t xml:space="preserve"> ВОЗ, а также </w:t>
            </w:r>
            <w:proofErr w:type="spellStart"/>
            <w:r>
              <w:rPr>
                <w:rFonts w:ascii="Times New Roman" w:hAnsi="Times New Roman" w:cs="Times New Roman"/>
              </w:rPr>
              <w:t>SmPC</w:t>
            </w:r>
            <w:proofErr w:type="spellEnd"/>
            <w:r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</w:rPr>
              <w:t>summary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of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product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br/>
            </w:r>
            <w:proofErr w:type="spellStart"/>
            <w:r>
              <w:rPr>
                <w:rFonts w:ascii="Times New Roman" w:hAnsi="Times New Roman" w:cs="Times New Roman"/>
              </w:rPr>
              <w:t>characteristics</w:t>
            </w:r>
            <w:proofErr w:type="spellEnd"/>
            <w:r>
              <w:rPr>
                <w:rFonts w:ascii="Times New Roman" w:hAnsi="Times New Roman" w:cs="Times New Roman"/>
              </w:rPr>
              <w:t xml:space="preserve"> - общая характеристика лекарственного препарата), выданная регуляторным органом страны производства такого лекарственного препарата, либо развернутое описание характеристик предлагаемого к закупке лекарственного препарата – инструкцию по </w:t>
            </w:r>
            <w:r>
              <w:rPr>
                <w:rFonts w:ascii="Times New Roman" w:hAnsi="Times New Roman" w:cs="Times New Roman"/>
              </w:rPr>
              <w:lastRenderedPageBreak/>
              <w:t>медицинскому применению;</w:t>
            </w:r>
          </w:p>
          <w:p>
            <w:pPr>
              <w:widowControl w:val="0"/>
              <w:autoSpaceDE w:val="0"/>
              <w:autoSpaceDN w:val="0"/>
              <w:ind w:firstLine="709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1.4. документ (письмо производителя и копия регистрационного удостоверения, действующего ранее на территории Республики Беларусь), подтверждающий, что:</w:t>
            </w:r>
          </w:p>
          <w:p>
            <w:pPr>
              <w:widowControl w:val="0"/>
              <w:autoSpaceDE w:val="0"/>
              <w:autoSpaceDN w:val="0"/>
              <w:ind w:firstLine="709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предполагаемый к поставке лекарственный препарат был зарегистрирован на территории Республики Беларусь;</w:t>
            </w:r>
          </w:p>
          <w:p>
            <w:pPr>
              <w:widowControl w:val="0"/>
              <w:autoSpaceDE w:val="0"/>
              <w:autoSpaceDN w:val="0"/>
              <w:ind w:firstLine="709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срок действия регистрационного удостоверения на него истек не ранее, чем за 4 (четыре) года до истечения срока для подготовки и подачи предложений.</w:t>
            </w:r>
          </w:p>
          <w:p>
            <w:pPr>
              <w:widowControl w:val="0"/>
              <w:autoSpaceDE w:val="0"/>
              <w:autoSpaceDN w:val="0"/>
              <w:ind w:firstLine="709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Также должна быть представлена </w:t>
            </w:r>
            <w:proofErr w:type="spellStart"/>
            <w:r>
              <w:rPr>
                <w:rFonts w:ascii="Times New Roman" w:hAnsi="Times New Roman" w:cs="Times New Roman"/>
              </w:rPr>
              <w:t>SmPC</w:t>
            </w:r>
            <w:proofErr w:type="spellEnd"/>
            <w:r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</w:rPr>
              <w:t>summary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of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product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characteristics</w:t>
            </w:r>
            <w:proofErr w:type="spellEnd"/>
            <w:r>
              <w:rPr>
                <w:rFonts w:ascii="Times New Roman" w:hAnsi="Times New Roman" w:cs="Times New Roman"/>
              </w:rPr>
              <w:t xml:space="preserve"> - общая характеристика лекарственного препарата), либо развернутое описание характеристик предлагаемого к закупке лекарственного препарата - инструкция по медицинскому применению, выданная для страны-производителя.</w:t>
            </w:r>
          </w:p>
          <w:p>
            <w:pPr>
              <w:widowControl w:val="0"/>
              <w:autoSpaceDE w:val="0"/>
              <w:autoSpaceDN w:val="0"/>
              <w:ind w:firstLine="709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Требования настоящего подпункта не распространяются на лекарственные препараты:</w:t>
            </w:r>
          </w:p>
          <w:p>
            <w:pPr>
              <w:widowControl w:val="0"/>
              <w:autoSpaceDE w:val="0"/>
              <w:autoSpaceDN w:val="0"/>
              <w:ind w:firstLine="709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регистрационные удостоверения на которые были приостановлены в связи с неблагоприятным профилем безопасности лекарственного препарата;</w:t>
            </w:r>
          </w:p>
          <w:p>
            <w:pPr>
              <w:widowControl w:val="0"/>
              <w:autoSpaceDE w:val="0"/>
              <w:autoSpaceDN w:val="0"/>
              <w:ind w:firstLine="709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регистрационные удостоверения на которые были приостановлены по инициативе Министерства здравоохранения Республики Беларусь;</w:t>
            </w:r>
          </w:p>
          <w:p>
            <w:pPr>
              <w:widowControl w:val="0"/>
              <w:autoSpaceDE w:val="0"/>
              <w:autoSpaceDN w:val="0"/>
              <w:ind w:firstLine="709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 которым во время обращения лекарственного препарата на рынке при проведении контроля качества были выявлены несоответствия требованиям нормативного документа по качеству производителя;</w:t>
            </w:r>
          </w:p>
          <w:p>
            <w:pPr>
              <w:widowControl w:val="0"/>
              <w:autoSpaceDE w:val="0"/>
              <w:autoSpaceDN w:val="0"/>
              <w:ind w:firstLine="709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 государственной регистрации (перерегистрации, подтверждении регистрации) которых было отказано. </w:t>
            </w:r>
          </w:p>
          <w:p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spacing w:after="0" w:line="240" w:lineRule="auto"/>
              <w:ind w:left="0" w:firstLine="709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Копия документа, удостоверяющего производство лекарственного препарата в условиях Надлежащей производственной практики (GMP), если в представленном регистрационном удостоверении, либо сертификате на свободную продажу, либо сертификате фармацевтического продукта отсутствуют сведения о периодической проверке производства лекарственного препарата (лекарственной формы) уполномоченным органом страны производителя на соответствие требованиям Надлежащей производственной практики. В качестве такого документа может быть представлен: сертификат </w:t>
            </w:r>
            <w:r>
              <w:rPr>
                <w:rFonts w:ascii="Times New Roman" w:hAnsi="Times New Roman" w:cs="Times New Roman"/>
                <w:lang w:val="en-US"/>
              </w:rPr>
              <w:t>GMP</w:t>
            </w:r>
            <w:r>
              <w:rPr>
                <w:rFonts w:ascii="Times New Roman" w:hAnsi="Times New Roman" w:cs="Times New Roman"/>
              </w:rPr>
              <w:t xml:space="preserve">, либо графическое изображение экрана (скриншот) с электронной базы </w:t>
            </w:r>
            <w:proofErr w:type="spellStart"/>
            <w:r>
              <w:rPr>
                <w:rFonts w:ascii="Times New Roman" w:hAnsi="Times New Roman" w:cs="Times New Roman"/>
              </w:rPr>
              <w:t>EudraGMDP</w:t>
            </w:r>
            <w:proofErr w:type="spellEnd"/>
            <w:r>
              <w:rPr>
                <w:rFonts w:ascii="Times New Roman" w:hAnsi="Times New Roman" w:cs="Times New Roman"/>
              </w:rPr>
              <w:t xml:space="preserve"> сертификатов GMP, либо распечатка с электронной базы уполномоченного органа страны производства лекарственного препарата. Представленные документы должны содержать полную информацию о производителе лекарственного препарата, </w:t>
            </w:r>
            <w:proofErr w:type="gramStart"/>
            <w:r>
              <w:rPr>
                <w:rFonts w:ascii="Times New Roman" w:hAnsi="Times New Roman" w:cs="Times New Roman"/>
              </w:rPr>
              <w:t>в том числе</w:t>
            </w:r>
            <w:proofErr w:type="gramEnd"/>
            <w:r>
              <w:rPr>
                <w:rFonts w:ascii="Times New Roman" w:hAnsi="Times New Roman" w:cs="Times New Roman"/>
              </w:rPr>
              <w:t xml:space="preserve"> осуществляющем производство готовой лекарственной формы, фасовку и (или) упаковку, контроль качества, и иных участниках производства и контроля качества лекарственного препарата.</w:t>
            </w:r>
          </w:p>
          <w:p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spacing w:after="0" w:line="240" w:lineRule="auto"/>
              <w:ind w:left="0" w:firstLine="709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Гарантийные письма участника с переводом на русский (белорусский) язык:</w:t>
            </w:r>
          </w:p>
          <w:p>
            <w:pPr>
              <w:widowControl w:val="0"/>
              <w:autoSpaceDE w:val="0"/>
              <w:autoSpaceDN w:val="0"/>
              <w:ind w:firstLine="709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о соблюдении условий хранения и транспортировки лекарственного препарата;</w:t>
            </w:r>
          </w:p>
          <w:p>
            <w:pPr>
              <w:widowControl w:val="0"/>
              <w:autoSpaceDE w:val="0"/>
              <w:autoSpaceDN w:val="0"/>
              <w:ind w:firstLine="709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 предоставлении при поставке лекарственного препарата информации от производителя о том, что данная серия уже применяется на рынке, для которого произведена, и не имеет претензий по качеству, либо что в Республику Беларусь осуществляется поставка новой серии лекарственного препарата, основная часть которой запланирована к поставке на рынок, для которого произведена. При этом производитель в случае, если в процессе обращения данная серия лекарственного препарата будет признана некачественной, обязуется проинформировать об этом Министерство здравоохранения Республики Беларусь;</w:t>
            </w:r>
          </w:p>
          <w:p>
            <w:pPr>
              <w:widowControl w:val="0"/>
              <w:autoSpaceDE w:val="0"/>
              <w:autoSpaceDN w:val="0"/>
              <w:ind w:firstLine="709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 предоставлении к каждой упаковке перевода инструкции на русский язык и (или) белорусский язык и требуемое количество </w:t>
            </w:r>
            <w:proofErr w:type="spellStart"/>
            <w:r>
              <w:rPr>
                <w:rFonts w:ascii="Times New Roman" w:hAnsi="Times New Roman" w:cs="Times New Roman"/>
              </w:rPr>
              <w:t>стикеров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(в случае необходимости) при поставке незарегистрированного лекарственного препарата;</w:t>
            </w:r>
          </w:p>
          <w:p>
            <w:pPr>
              <w:widowControl w:val="0"/>
              <w:autoSpaceDE w:val="0"/>
              <w:autoSpaceDN w:val="0"/>
              <w:ind w:firstLine="709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 возможности предоставления полного пакета документов для получения разрешения на ввоз незарегистрированного лекарственного препарата в соответствии с законодательством Республики Беларусь.</w:t>
            </w:r>
          </w:p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Наименование валюты, в которой должна быть выражена цена предложения, наименование валюты и при необходимости обменный курс, которые будут использованы для заключения договора.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Цена участника должна быть выражена в белорусских рублях за весь объём по лоту включая уплату таможенных пошлин, косвенных налогов (в том числе налог на добавленную стоимость).</w:t>
            </w:r>
          </w:p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В случае определения участником-победителем резидента Республики Беларусь, валютой договора является белорусский рубль (BYN).</w:t>
            </w:r>
          </w:p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В случае определения участником-победителем нерезидента Республики Беларусь валюта цены и валюта платежа должна быть одинаковой и выражена в RUB для резидентов Российской Федерации или в EUR для иных нерезидентов РБ (кроме резидентов РФ) по курсу Национального банка Республики Беларусь на конечную дату предоставления документов и (или) сведений поставщиками.</w:t>
            </w:r>
          </w:p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lang w:eastAsia="ru-RU"/>
              </w:rPr>
              <w:t xml:space="preserve">Справочно: данное требование установлено с целью исполнения покупателем финансовых обязательств по контракту. </w:t>
            </w:r>
          </w:p>
        </w:tc>
      </w:tr>
      <w:tr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Требования к участникам, документы и (или) сведения для проверки требований к участникам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>
            <w:pPr>
              <w:pStyle w:val="ConsPlusNormal"/>
              <w:spacing w:after="4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1.Участником признается юридическое или физическое лицо, в том числе индивидуальный предприниматель, получившее от организатора предложение о заключении договора.</w:t>
            </w:r>
          </w:p>
          <w:p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 При проведении процедуры государственной закупки к участникам предъявляются следующие требования:</w:t>
            </w:r>
          </w:p>
          <w:p>
            <w:pPr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2.1. соответствие требованиям, установленным законодательством к юридическому или физическому лицу, в том числе индивидуальному предпринимателю, осуществляющему поставку товаров (выполнение работ, оказание услуг), являющихся предметом государственной закупки; </w:t>
            </w:r>
          </w:p>
          <w:p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2.2. физическое лицо, в том числе индивидуальный предприниматель, лицо, осуществляющее полномочия единоличного исполнительного органа юридического лица - участника процедуры государственной закупки, и лицо, имеющее право давать такому юридическому лицу обязательные для исполнения указания на основании учредительных документов или заключенного договора, не должны считаться подвергавшимися административному взысканию за административные правонарушения, предусмотренные в частях 1, 7, 8 и 10 статьи 14.4, частях 4 и 5 статьи 14.5 Кодекса Республики Беларусь об административных </w:t>
            </w:r>
            <w:r>
              <w:rPr>
                <w:rFonts w:ascii="Times New Roman" w:hAnsi="Times New Roman" w:cs="Times New Roman"/>
              </w:rPr>
              <w:lastRenderedPageBreak/>
              <w:t>правонарушениях;</w:t>
            </w:r>
          </w:p>
          <w:p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2.3. у физического лица, в том числе индивидуального предпринимателя, у лица, осуществляющего полномочия единоличного исполнительного органа юридического лица - участника процедуры государственной закупки, и лица, имеющего право давать такому юридическому лицу обязательные для исполнения указания на основании учредительных документов или заключенного договора, отсутствует не снятая или не погашенная в установленном порядке судимость за преступления, предусмотренные в статьях 209 - 212, 216, 235, 243 – 243</w:t>
            </w:r>
            <w:r>
              <w:rPr>
                <w:rFonts w:ascii="Times New Roman" w:hAnsi="Times New Roman" w:cs="Times New Roman"/>
                <w:vertAlign w:val="superscript"/>
              </w:rPr>
              <w:t>3</w:t>
            </w:r>
            <w:r>
              <w:rPr>
                <w:rFonts w:ascii="Times New Roman" w:hAnsi="Times New Roman" w:cs="Times New Roman"/>
              </w:rPr>
              <w:t>, 424 - 426, 429 - 432 и 455 Уголовного кодекса Республики Беларусь;</w:t>
            </w:r>
          </w:p>
          <w:p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2.4. юридическое лицо не должно считаться подвергавшимся административному взысканию за административное правонарушение, предусмотренное в статье 24.59 Кодекса Республики Беларусь об административных правонарушениях;</w:t>
            </w:r>
          </w:p>
          <w:p>
            <w:pPr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2.5. физическое лицо, в том числе индивидуальный предприниматель, не должны быть включены в перечень граждан Республики Беларусь, иностранных граждан или лиц без гражданства, причастных к экстремистской деятельности;</w:t>
            </w:r>
          </w:p>
          <w:p>
            <w:pPr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2.6. юридическое или физическое лицо, в том числе индивидуальный предприниматель, не должны быть включены в перечень организаций и физических лиц, в том числе индивидуальных предпринимателей, причастных к террористической деятельности;</w:t>
            </w:r>
          </w:p>
          <w:p>
            <w:pPr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2.7. юридическое или физическое лицо, в том числе индивидуальный предприниматель, не должны быть включены в перечень организаций, формирований, индивидуальных предпринимателей, причастных к экстремистской деятельности;</w:t>
            </w:r>
          </w:p>
          <w:p>
            <w:pPr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2.8. отсутствие у юридического лица или индивидуального предпринимателя задолженности по уплате налогов, сборов (пошлин), пеней, а также отсутствие у юридического лица или индивидуального предпринимателя, являющихся резидентами,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Беларусь. Данное требование не распространяется на юридическое лицо, в отношении которого возбуждено производство по делу о несостоятельности, а также на юридическое лицо или индивидуального предпринимателя, в отношении которых на дату подачи предложения в установленном Налоговым кодексом Республики Беларусь, иными законодательными актами порядке предоставлены отсрочка и (или) рассрочка по уплате налогов, сборов (пошлин), пеней, обязательных страховых взносов в бюджет государственного внебюджетного фонда социальной защиты населения Республики Беларусь, что подтверждается соответствующим заявлением участника. Для целей настоящего Закона термин "резидент" имеет значение, определенное частью первой подпункта 1.11 пункта 1 статьи 1 Закона Республики Беларусь от 22 июля 2003 г. N 226-З "О валютном регулировании и валютном контроле"; </w:t>
            </w:r>
          </w:p>
          <w:p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bookmarkStart w:id="1" w:name="Par8"/>
            <w:bookmarkEnd w:id="1"/>
            <w:r>
              <w:rPr>
                <w:rFonts w:ascii="Times New Roman" w:hAnsi="Times New Roman" w:cs="Times New Roman"/>
              </w:rPr>
              <w:t xml:space="preserve">2.9. юридическое или физическое лицо, в том числе индивидуальный предприниматель, на дату подачи предложения не должно быть включено в </w:t>
            </w:r>
            <w:hyperlink r:id="rId6" w:history="1">
              <w:r>
                <w:rPr>
                  <w:rStyle w:val="a8"/>
                  <w:rFonts w:ascii="Times New Roman" w:hAnsi="Times New Roman" w:cs="Times New Roman"/>
                  <w:color w:val="auto"/>
                </w:rPr>
                <w:t>список</w:t>
              </w:r>
            </w:hyperlink>
            <w:r>
              <w:rPr>
                <w:rFonts w:ascii="Times New Roman" w:hAnsi="Times New Roman" w:cs="Times New Roman"/>
              </w:rPr>
              <w:t xml:space="preserve"> поставщиков (подрядчиков, исполнителей), временно не допускаемых к участию в процедурах государственных закупок;</w:t>
            </w:r>
          </w:p>
          <w:p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2.10. юридическое или физическое лицо, в том числе индивидуальный предприниматель с учетом положений статьи 16-1 Закона Республики Беларусь от 13.07.2012 № 419-З "О государственных закупках товаров (работ, услуг)", не должно быть аффилировано с заказчиком, организатором;</w:t>
            </w:r>
          </w:p>
          <w:p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2.11. юридическое или физическое лицо, в том числе индивидуальный </w:t>
            </w:r>
            <w:r>
              <w:rPr>
                <w:rFonts w:ascii="Times New Roman" w:hAnsi="Times New Roman" w:cs="Times New Roman"/>
              </w:rPr>
              <w:lastRenderedPageBreak/>
              <w:t>предприниматель, работник (работники) таких юридического лица или индивидуального предпринимателя не должны оказывать заказчику (организатору) услуги по организации и проведению процедуры государственной закупки, в том числе консультированию, а также формированию требований к предмету государственной закупки и (или) подготовке заключения по рассмотрению, оценке и сравнению предложений;</w:t>
            </w:r>
          </w:p>
          <w:p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2.12. юридическое лицо или индивидуальный предприниматель не должны являться заказчиком (организатором) проводимой процедуры государственной закупки;</w:t>
            </w:r>
          </w:p>
          <w:p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2.13. физическое лицо не должно являться работником заказчика (организатора), за исключением проведения процедуры закупки из одного источника у физических лиц, не являющихся индивидуальными предпринимателями;</w:t>
            </w:r>
          </w:p>
          <w:p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2.14. юридическое лицо не должно находиться в процессе ликвидации, реорганизации (за исключением юридического лица, к которому присоединяется другое юридическое лицо), индивидуальный предприниматель не должен находиться в стадии прекращения деятельности;</w:t>
            </w:r>
          </w:p>
          <w:p>
            <w:pPr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2.15. в отношении юридического лица и индивидуального предпринимателя не должно быть возбуждено производство по делу о банкротстве;</w:t>
            </w:r>
          </w:p>
          <w:p>
            <w:pPr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2.16.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  <w:r>
              <w:rPr>
                <w:rStyle w:val="word-wrapper"/>
                <w:rFonts w:ascii="Times New Roman" w:hAnsi="Times New Roman" w:cs="Times New Roman"/>
                <w:shd w:val="clear" w:color="auto" w:fill="FFFFFF"/>
              </w:rPr>
              <w:t>юридическое или физическое лицо, в том числе индивидуальный предприниматель, должно обладать исключительными правами на результаты интеллектуальной деятельности, если в связи с исполнением договора заказчик приобретает исключительные права на такие результаты, за исключением случаев заключения договора на создание объектов интеллектуальной собственности;</w:t>
            </w:r>
          </w:p>
          <w:p>
            <w:pPr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2.17. юридическое или физическое лицо, в том числе индивидуальный предприниматель, должно обладать правомочиями на реализацию товаров (выполнение работ, оказание услуг) на территории Республики Беларусь с использованием товарных знаков и знаков обслуживания в случае поставки товаров (выполнения работ, оказания услуг) с использованием товарных знаков и (или) знаков обслуживания.</w:t>
            </w:r>
          </w:p>
          <w:p>
            <w:pPr>
              <w:pStyle w:val="p-normal"/>
              <w:shd w:val="clear" w:color="auto" w:fill="FFFFFF"/>
              <w:spacing w:before="0" w:beforeAutospacing="0" w:after="40" w:afterAutospacing="0"/>
              <w:ind w:firstLine="450"/>
              <w:jc w:val="both"/>
              <w:rPr>
                <w:i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3. Участник предоставляет документы, подтверждающие соответствие требованиям п. 2.1-2.17, </w:t>
            </w:r>
            <w:r>
              <w:rPr>
                <w:i/>
                <w:sz w:val="22"/>
                <w:szCs w:val="22"/>
              </w:rPr>
              <w:t>после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i/>
                <w:sz w:val="22"/>
                <w:szCs w:val="22"/>
              </w:rPr>
              <w:t>размещения организатором предложения о заключении договора.</w:t>
            </w:r>
          </w:p>
          <w:p>
            <w:pPr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</w:p>
          <w:p>
            <w:pPr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Соответствие требованиям пункта 2.1. подтверждается путем предоставления следующих документов:</w:t>
            </w:r>
          </w:p>
          <w:p>
            <w:pPr>
              <w:pStyle w:val="a9"/>
              <w:numPr>
                <w:ilvl w:val="0"/>
                <w:numId w:val="1"/>
              </w:numPr>
              <w:spacing w:after="4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разрешение (лицензия) на осуществление деятельности (фармацевтической деятельности) по производству или </w:t>
            </w:r>
            <w:proofErr w:type="spellStart"/>
            <w:r>
              <w:rPr>
                <w:sz w:val="22"/>
                <w:szCs w:val="22"/>
              </w:rPr>
              <w:t>дистрибьюции</w:t>
            </w:r>
            <w:proofErr w:type="spellEnd"/>
            <w:r>
              <w:rPr>
                <w:sz w:val="22"/>
                <w:szCs w:val="22"/>
              </w:rPr>
              <w:t xml:space="preserve">* лекарственных средств, выданное уполномоченным органом страны </w:t>
            </w:r>
            <w:proofErr w:type="gramStart"/>
            <w:r>
              <w:rPr>
                <w:sz w:val="22"/>
                <w:szCs w:val="22"/>
              </w:rPr>
              <w:t>участника.*</w:t>
            </w:r>
            <w:proofErr w:type="gramEnd"/>
            <w:r>
              <w:rPr>
                <w:sz w:val="22"/>
                <w:szCs w:val="22"/>
              </w:rPr>
              <w:t>*</w:t>
            </w:r>
          </w:p>
          <w:p>
            <w:pPr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 случае, если к поставке предлагается наркотическое средство или психотропное вещество, участник обязан предоставить разрешение (лицензию) на деятельность, связанную с оборотом наркотических средств, психотропных веществ и их </w:t>
            </w:r>
            <w:proofErr w:type="spellStart"/>
            <w:r>
              <w:rPr>
                <w:rFonts w:ascii="Times New Roman" w:hAnsi="Times New Roman" w:cs="Times New Roman"/>
              </w:rPr>
              <w:t>прекурсоров</w:t>
            </w:r>
            <w:proofErr w:type="spellEnd"/>
            <w:r>
              <w:rPr>
                <w:rFonts w:ascii="Times New Roman" w:hAnsi="Times New Roman" w:cs="Times New Roman"/>
              </w:rPr>
              <w:t>;</w:t>
            </w:r>
          </w:p>
          <w:p>
            <w:pPr>
              <w:spacing w:after="40" w:line="240" w:lineRule="auto"/>
              <w:jc w:val="both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*</w:t>
            </w:r>
            <w:proofErr w:type="spellStart"/>
            <w:r>
              <w:rPr>
                <w:rFonts w:ascii="Times New Roman" w:hAnsi="Times New Roman" w:cs="Times New Roman"/>
                <w:i/>
              </w:rPr>
              <w:t>дистрибьюция</w:t>
            </w:r>
            <w:proofErr w:type="spellEnd"/>
            <w:r>
              <w:rPr>
                <w:rFonts w:ascii="Times New Roman" w:hAnsi="Times New Roman" w:cs="Times New Roman"/>
                <w:i/>
              </w:rPr>
              <w:t>- деятельность, связанная с закупкой (закупом, приобретением), хранением, ввозом (импортом), вывозом (экспортом), реализацией (за исключением реализации населению) без ограничения объемов и транспортировкой лекарственных средств;</w:t>
            </w:r>
          </w:p>
          <w:p>
            <w:pPr>
              <w:spacing w:after="40" w:line="240" w:lineRule="auto"/>
              <w:jc w:val="both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 xml:space="preserve">** Резиденты Республики Беларусь и Российской Федерации предоставляют копию разрешения (лицензии) на фармацевтическую деятельность или выписку из Единого реестра лицензий, действующего на </w:t>
            </w:r>
            <w:r>
              <w:rPr>
                <w:rFonts w:ascii="Times New Roman" w:hAnsi="Times New Roman" w:cs="Times New Roman"/>
                <w:i/>
              </w:rPr>
              <w:lastRenderedPageBreak/>
              <w:t>территории Республики Беларусь или соответственно Российской Федерации;</w:t>
            </w:r>
          </w:p>
          <w:p>
            <w:pPr>
              <w:spacing w:after="40" w:line="240" w:lineRule="auto"/>
              <w:ind w:left="589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2) документ, подтверждающий регистрацию участника в стране его происхождения:</w:t>
            </w:r>
          </w:p>
          <w:p>
            <w:pPr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а) свидетельство о регистрации участника либо выписку из торгового реестра страны регистрации участника (для резидентов стран-членов Евразийского экономического союза);</w:t>
            </w:r>
          </w:p>
          <w:p>
            <w:pPr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б) выписку из торгового реестра страны регистрации участника (для нерезидентов стран-членов Евразийского экономического союза).</w:t>
            </w:r>
          </w:p>
          <w:p>
            <w:pPr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Выписка из торгового реестра страны регистрации участника должна быть выдана не ранее, чем за 12 (двенадцать) месяцев до истечения срока для подготовки и подачи предложений </w:t>
            </w:r>
          </w:p>
          <w:p>
            <w:pPr>
              <w:pStyle w:val="p-normal"/>
              <w:shd w:val="clear" w:color="auto" w:fill="FFFFFF"/>
              <w:spacing w:before="0" w:beforeAutospacing="0" w:after="40" w:afterAutospacing="0"/>
              <w:ind w:firstLine="450"/>
              <w:jc w:val="both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Соответствие требованиям пункта 2.2. - 2.7, 2.10-2.17 подтверждается заявлением участника. Такое заявление подается по форме, установленной регламентом оператора электронной торговой площадки, после размещения организатором предложения о заключении договора.</w:t>
            </w:r>
          </w:p>
          <w:p>
            <w:pPr>
              <w:spacing w:after="4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Соответствие требованиям пункта 2.8. подтверждается:</w:t>
            </w:r>
          </w:p>
          <w:p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в отношении участников, являющихся резидентами, - путем проверки организатором таких сведений через официальные сайты Министерства по налогам и сборам, Фонда социальной защиты населения Министерства труда и социальной защиты в глобальной компьютерной сети Интернет на первое число месяца, в котором заключается договор при проведении процедуры закупки из одного источника, а в случае отсутствия информации на указанную дату - на первое число месяца, предшествующего месяцу, в котором заключается договор при проведении процедуры закупки из одного источника;</w:t>
            </w:r>
          </w:p>
          <w:p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- участниками, не являющимися резидентами, - документом об отсутствии задолженности по уплате налогов, сборов (пошлин), пеней, выданным уполномоченными органами в соответствии с законодательством страны, резидентом которой является участник, на последнюю отчетную дату, предшествующую дню заключения договора при проведении процедуры закупки из одного источника, и заявлением с указанием последней отчетной даты. Заявление предоставляется </w:t>
            </w:r>
            <w:proofErr w:type="gramStart"/>
            <w:r>
              <w:rPr>
                <w:rFonts w:ascii="Times New Roman" w:hAnsi="Times New Roman" w:cs="Times New Roman"/>
              </w:rPr>
              <w:t>по форме</w:t>
            </w:r>
            <w:proofErr w:type="gramEnd"/>
            <w:r>
              <w:rPr>
                <w:rFonts w:ascii="Times New Roman" w:hAnsi="Times New Roman" w:cs="Times New Roman"/>
              </w:rPr>
              <w:t xml:space="preserve"> установленной в приложении 3 к заявке на покупку.</w:t>
            </w:r>
          </w:p>
          <w:p>
            <w:pPr>
              <w:autoSpaceDE w:val="0"/>
              <w:autoSpaceDN w:val="0"/>
              <w:adjustRightInd w:val="0"/>
              <w:spacing w:after="4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Участники, не являющиеся резидентами, должны предоставить документы, подтверждающие соответствие требованиям п.2.8., с учетом следующей информации.</w:t>
            </w:r>
          </w:p>
          <w:p>
            <w:pPr>
              <w:autoSpaceDE w:val="0"/>
              <w:autoSpaceDN w:val="0"/>
              <w:adjustRightInd w:val="0"/>
              <w:spacing w:after="40" w:line="240" w:lineRule="auto"/>
              <w:ind w:firstLine="709"/>
              <w:jc w:val="both"/>
              <w:rPr>
                <w:rFonts w:ascii="Times New Roman" w:eastAsia="Arial" w:hAnsi="Times New Roman" w:cs="Times New Roman"/>
                <w:i/>
                <w:kern w:val="2"/>
                <w:lang w:eastAsia="ar-SA" w:bidi="ru-RU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i/>
              </w:rPr>
              <w:t xml:space="preserve">Обращаем внимание, что документ об отсутствии задолженности по уплате налогов, сборов (пошлин), пеней должен быть выдан именно </w:t>
            </w:r>
            <w:r>
              <w:rPr>
                <w:rFonts w:ascii="Times New Roman" w:hAnsi="Times New Roman" w:cs="Times New Roman"/>
                <w:b/>
                <w:i/>
              </w:rPr>
              <w:t>уполномоченным органом в соответствии с законодательством страны</w:t>
            </w:r>
            <w:r>
              <w:rPr>
                <w:rFonts w:ascii="Times New Roman" w:hAnsi="Times New Roman" w:cs="Times New Roman"/>
                <w:i/>
              </w:rPr>
              <w:t xml:space="preserve">, резидентом которой является участник. </w:t>
            </w:r>
          </w:p>
          <w:p>
            <w:pPr>
              <w:autoSpaceDE w:val="0"/>
              <w:autoSpaceDN w:val="0"/>
              <w:adjustRightInd w:val="0"/>
              <w:spacing w:after="40" w:line="240" w:lineRule="auto"/>
              <w:ind w:firstLine="709"/>
              <w:jc w:val="both"/>
              <w:rPr>
                <w:rFonts w:ascii="Times New Roman" w:eastAsia="Calibri" w:hAnsi="Times New Roman" w:cs="Times New Roman"/>
                <w:i/>
              </w:rPr>
            </w:pPr>
            <w:r>
              <w:rPr>
                <w:rFonts w:ascii="Times New Roman" w:eastAsia="Arial" w:hAnsi="Times New Roman" w:cs="Times New Roman"/>
                <w:i/>
                <w:kern w:val="2"/>
                <w:lang w:eastAsia="ar-SA" w:bidi="ru-RU"/>
              </w:rPr>
              <w:t>При этом Закон Республики Беларусь от 13.07.2012 № 419-З</w:t>
            </w:r>
            <w:r>
              <w:rPr>
                <w:rFonts w:ascii="Times New Roman" w:hAnsi="Times New Roman" w:cs="Times New Roman"/>
                <w:i/>
              </w:rPr>
              <w:t xml:space="preserve"> «О государственных закупках товаров (работ, услуг)» не определяет дату, которая для того либо иного государства является отчетной датой. </w:t>
            </w:r>
            <w:r>
              <w:rPr>
                <w:rFonts w:ascii="Times New Roman" w:hAnsi="Times New Roman" w:cs="Times New Roman"/>
                <w:b/>
                <w:i/>
              </w:rPr>
              <w:t>Такая отчетная дата</w:t>
            </w:r>
            <w:r>
              <w:rPr>
                <w:rFonts w:ascii="Times New Roman" w:hAnsi="Times New Roman" w:cs="Times New Roman"/>
                <w:i/>
              </w:rPr>
              <w:t xml:space="preserve"> указывается участником в соответствующем заявлении.</w:t>
            </w:r>
          </w:p>
          <w:p>
            <w:pPr>
              <w:autoSpaceDE w:val="0"/>
              <w:autoSpaceDN w:val="0"/>
              <w:adjustRightInd w:val="0"/>
              <w:spacing w:after="40" w:line="240" w:lineRule="auto"/>
              <w:ind w:firstLine="709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eastAsia="Arial" w:hAnsi="Times New Roman" w:cs="Times New Roman"/>
                <w:i/>
                <w:kern w:val="2"/>
                <w:lang w:eastAsia="ar-SA" w:bidi="ru-RU"/>
              </w:rPr>
              <w:t xml:space="preserve">Участник при подаче предложения самостоятельно определяет, когда и на какую отчетную дату подавать заявление для выполнения установленных законодательством требований к участникам. </w:t>
            </w:r>
            <w:r>
              <w:rPr>
                <w:rFonts w:ascii="Times New Roman" w:eastAsia="Arial" w:hAnsi="Times New Roman" w:cs="Times New Roman"/>
                <w:b/>
                <w:i/>
                <w:kern w:val="2"/>
                <w:lang w:eastAsia="ar-SA" w:bidi="ru-RU"/>
              </w:rPr>
              <w:t>Д</w:t>
            </w:r>
            <w:r>
              <w:rPr>
                <w:rFonts w:ascii="Times New Roman" w:hAnsi="Times New Roman" w:cs="Times New Roman"/>
                <w:b/>
                <w:i/>
              </w:rPr>
              <w:t>окумент</w:t>
            </w:r>
            <w:r>
              <w:rPr>
                <w:rFonts w:ascii="Times New Roman" w:hAnsi="Times New Roman" w:cs="Times New Roman"/>
                <w:i/>
              </w:rPr>
              <w:t xml:space="preserve"> </w:t>
            </w:r>
            <w:r>
              <w:rPr>
                <w:rFonts w:ascii="Times New Roman" w:hAnsi="Times New Roman" w:cs="Times New Roman"/>
                <w:b/>
                <w:i/>
              </w:rPr>
              <w:t>об отсутствии задолженности</w:t>
            </w:r>
            <w:r>
              <w:rPr>
                <w:rFonts w:ascii="Times New Roman" w:hAnsi="Times New Roman" w:cs="Times New Roman"/>
                <w:i/>
              </w:rPr>
              <w:t xml:space="preserve"> по уплате налогов, сборов (пошлин), пеней </w:t>
            </w:r>
            <w:r>
              <w:rPr>
                <w:rFonts w:ascii="Times New Roman" w:hAnsi="Times New Roman" w:cs="Times New Roman"/>
                <w:b/>
                <w:i/>
              </w:rPr>
              <w:t>должен быть</w:t>
            </w:r>
            <w:r>
              <w:rPr>
                <w:rFonts w:ascii="Times New Roman" w:hAnsi="Times New Roman" w:cs="Times New Roman"/>
                <w:i/>
              </w:rPr>
              <w:t xml:space="preserve"> предоставлен </w:t>
            </w:r>
            <w:r>
              <w:rPr>
                <w:rFonts w:ascii="Times New Roman" w:hAnsi="Times New Roman" w:cs="Times New Roman"/>
                <w:b/>
                <w:i/>
              </w:rPr>
              <w:t>на ту дату, которая была указана в заявлении</w:t>
            </w:r>
            <w:r>
              <w:rPr>
                <w:rFonts w:ascii="Times New Roman" w:hAnsi="Times New Roman" w:cs="Times New Roman"/>
                <w:i/>
              </w:rPr>
              <w:t xml:space="preserve"> в качестве последней отчетной.</w:t>
            </w:r>
          </w:p>
        </w:tc>
      </w:tr>
      <w:tr>
        <w:tc>
          <w:tcPr>
            <w:tcW w:w="3134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Совместное участие в процедуре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государственной закупки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4" w:space="0" w:color="auto"/>
              <w:right w:val="single" w:sz="6" w:space="0" w:color="auto"/>
            </w:tcBorders>
          </w:tcPr>
          <w:p>
            <w:pPr>
              <w:pStyle w:val="ConsPlusNonformat"/>
              <w:ind w:firstLine="56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lastRenderedPageBreak/>
              <w:t>Совместное участие в процедуре государственной закупки</w:t>
            </w:r>
          </w:p>
          <w:p>
            <w:pPr>
              <w:pStyle w:val="ConsPlusNonformat"/>
              <w:ind w:firstLine="56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  <w:p>
            <w:pPr>
              <w:pStyle w:val="ConsPlusNonformat"/>
              <w:ind w:firstLine="567"/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Совместное участие в процедурах государственных закупок допускается 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в случаях, установленных законодательными актами Республики Беларусь (для холдингов). </w:t>
            </w:r>
          </w:p>
          <w:p>
            <w:pPr>
              <w:pStyle w:val="p-normal"/>
              <w:shd w:val="clear" w:color="auto" w:fill="FFFFFF"/>
              <w:spacing w:before="0" w:beforeAutospacing="0" w:after="0" w:afterAutospacing="0"/>
              <w:ind w:firstLine="709"/>
              <w:jc w:val="both"/>
              <w:rPr>
                <w:sz w:val="22"/>
                <w:szCs w:val="22"/>
              </w:rPr>
            </w:pPr>
            <w:r>
              <w:rPr>
                <w:rStyle w:val="word-wrapper"/>
                <w:sz w:val="22"/>
                <w:szCs w:val="22"/>
              </w:rPr>
              <w:t>Совместное участие в процедуре государственной закупки юридических и (или) физических лиц, в том числе индивидуальных предпринимателей, осуществляется при соблюдении следующих условий:</w:t>
            </w:r>
          </w:p>
          <w:p>
            <w:pPr>
              <w:pStyle w:val="p-normal"/>
              <w:shd w:val="clear" w:color="auto" w:fill="FFFFFF"/>
              <w:spacing w:before="0" w:beforeAutospacing="0" w:after="0" w:afterAutospacing="0"/>
              <w:ind w:firstLine="709"/>
              <w:jc w:val="both"/>
              <w:rPr>
                <w:sz w:val="22"/>
                <w:szCs w:val="22"/>
              </w:rPr>
            </w:pPr>
            <w:r>
              <w:rPr>
                <w:rStyle w:val="word-wrapper"/>
                <w:sz w:val="22"/>
                <w:szCs w:val="22"/>
              </w:rPr>
              <w:t>наличие соглашения о совместном участии в процедуре государственной закупки, определяющего права, обязанности и ответственность юридических и (или) физических лиц, в том числе индивидуальных предпринимателей, являющихся сторонами такого соглашения, в том числе по вопросам реализации их полномочий в ходе проведения процедуры государственной закупки, предусмотренных законодательством о государственных закупках. Такое соглашение заключается для целей участия в конкретной процедуре государственной закупки и предоставляется в составе предложения (до заключения договора);</w:t>
            </w:r>
          </w:p>
          <w:p>
            <w:pPr>
              <w:pStyle w:val="p-normal"/>
              <w:shd w:val="clear" w:color="auto" w:fill="FFFFFF"/>
              <w:spacing w:before="0" w:beforeAutospacing="0" w:after="0" w:afterAutospacing="0"/>
              <w:ind w:firstLine="709"/>
              <w:jc w:val="both"/>
              <w:rPr>
                <w:sz w:val="22"/>
                <w:szCs w:val="22"/>
              </w:rPr>
            </w:pPr>
            <w:r>
              <w:rPr>
                <w:rStyle w:val="word-wrapper"/>
                <w:sz w:val="22"/>
                <w:szCs w:val="22"/>
              </w:rPr>
              <w:t xml:space="preserve">соответствие требованиям к участникам, установленным пунктами 2.1, 2.16-2.17 раздела </w:t>
            </w:r>
            <w:r>
              <w:rPr>
                <w:sz w:val="22"/>
                <w:szCs w:val="22"/>
              </w:rPr>
              <w:t xml:space="preserve">«Требования к участникам, документы и (или) сведения для проверки требований к участникам», </w:t>
            </w:r>
            <w:r>
              <w:rPr>
                <w:rStyle w:val="word-wrapper"/>
                <w:sz w:val="22"/>
                <w:szCs w:val="22"/>
              </w:rPr>
              <w:t>должно быть подтверждено хотя бы в отношении одного из юридических и (или) физических лиц, в том числе индивидуальных предпринимателей, совместно участвующих в процедуре государственной закупки;</w:t>
            </w:r>
          </w:p>
          <w:p>
            <w:pPr>
              <w:ind w:firstLine="708"/>
              <w:jc w:val="both"/>
              <w:rPr>
                <w:rFonts w:ascii="Times New Roman" w:hAnsi="Times New Roman" w:cs="Times New Roman"/>
              </w:rPr>
            </w:pPr>
            <w:r>
              <w:rPr>
                <w:rStyle w:val="word-wrapper"/>
                <w:rFonts w:ascii="Times New Roman" w:hAnsi="Times New Roman" w:cs="Times New Roman"/>
              </w:rPr>
              <w:t>соответствие дополнительным требованиям к участникам, установленным пунктами 2.2.-2.7.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Style w:val="word-wrapper"/>
                <w:rFonts w:ascii="Times New Roman" w:hAnsi="Times New Roman" w:cs="Times New Roman"/>
              </w:rPr>
              <w:t xml:space="preserve">раздела </w:t>
            </w:r>
            <w:r>
              <w:rPr>
                <w:rFonts w:ascii="Times New Roman" w:hAnsi="Times New Roman" w:cs="Times New Roman"/>
              </w:rPr>
              <w:t>«Требования к участникам, документы и (или) сведения для проверки требований к участникам»,</w:t>
            </w:r>
            <w:r>
              <w:rPr>
                <w:rStyle w:val="word-wrapper"/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подтверждается заявлением участника в отношении каждого участника холдинга;</w:t>
            </w:r>
          </w:p>
          <w:p>
            <w:pPr>
              <w:pStyle w:val="p-normal"/>
              <w:shd w:val="clear" w:color="auto" w:fill="FFFFFF"/>
              <w:spacing w:before="0" w:beforeAutospacing="0" w:after="0" w:afterAutospacing="0"/>
              <w:ind w:firstLine="709"/>
              <w:jc w:val="both"/>
              <w:rPr>
                <w:sz w:val="22"/>
                <w:szCs w:val="22"/>
              </w:rPr>
            </w:pPr>
            <w:r>
              <w:rPr>
                <w:rStyle w:val="word-wrapper"/>
                <w:sz w:val="22"/>
                <w:szCs w:val="22"/>
              </w:rPr>
              <w:t xml:space="preserve">соответствие требованиям к участникам, установленным пунктами 2.8-2.15 раздела </w:t>
            </w:r>
            <w:r>
              <w:rPr>
                <w:sz w:val="22"/>
                <w:szCs w:val="22"/>
              </w:rPr>
              <w:t>«Требования к участникам, документы и (или) сведения для проверки требований к участникам»,</w:t>
            </w:r>
            <w:r>
              <w:rPr>
                <w:rStyle w:val="word-wrapper"/>
                <w:sz w:val="22"/>
                <w:szCs w:val="22"/>
              </w:rPr>
              <w:t xml:space="preserve"> должно быть подтверждено в отношении каждого из юридических и (или) физических лиц, в том числе индивидуальных предпринимателей, совместно участвующих в процедуре государственной закупки;</w:t>
            </w:r>
          </w:p>
          <w:p>
            <w:pPr>
              <w:pStyle w:val="p-normal"/>
              <w:shd w:val="clear" w:color="auto" w:fill="FFFFFF"/>
              <w:spacing w:before="0" w:beforeAutospacing="0" w:after="0" w:afterAutospacing="0"/>
              <w:ind w:firstLine="709"/>
              <w:jc w:val="both"/>
              <w:rPr>
                <w:rStyle w:val="word-wrapper"/>
                <w:sz w:val="22"/>
                <w:szCs w:val="22"/>
              </w:rPr>
            </w:pPr>
            <w:r>
              <w:rPr>
                <w:rStyle w:val="word-wrapper"/>
                <w:sz w:val="22"/>
                <w:szCs w:val="22"/>
              </w:rPr>
              <w:t>подача предложения от имени юридических и (или) физических лиц, в том числе индивидуальных предпринимателей, совместно участвующих в процедуре государственной закупки, осуществляется одним из них, определяемым в соглашении о совместном участии в процедуре государственной закупки. В предложении должны быть указаны наименование (фамилия, собственное имя, отчество (при наличии) - для физического лица, в том числе индивидуального предпринимателя) всех юридических и (или) физических лиц, в том числе индивидуальных предпринимателей, совместно участвующих в процедуре государственной закупки, их права и обязанности в связи с исполнением договора;</w:t>
            </w:r>
          </w:p>
          <w:p>
            <w:pPr>
              <w:pStyle w:val="p-normal"/>
              <w:shd w:val="clear" w:color="auto" w:fill="FFFFFF"/>
              <w:spacing w:before="0" w:beforeAutospacing="0" w:after="0" w:afterAutospacing="0"/>
              <w:ind w:firstLine="709"/>
              <w:jc w:val="both"/>
              <w:rPr>
                <w:rStyle w:val="word-wrapper"/>
                <w:sz w:val="22"/>
                <w:szCs w:val="22"/>
              </w:rPr>
            </w:pPr>
            <w:r>
              <w:rPr>
                <w:rStyle w:val="word-wrapper"/>
                <w:sz w:val="22"/>
                <w:szCs w:val="22"/>
                <w:shd w:val="clear" w:color="auto" w:fill="FFFFFF"/>
              </w:rPr>
              <w:t xml:space="preserve">при </w:t>
            </w:r>
            <w:r>
              <w:rPr>
                <w:rStyle w:val="word-wrapper"/>
                <w:sz w:val="22"/>
                <w:szCs w:val="22"/>
              </w:rPr>
              <w:t xml:space="preserve">проведении процедуры закупки из одного источника в случае направления организатором предложения о заключении договора участнику, выступающему от имени юридических и (или) физических лиц, в том числе индивидуальных предпринимателей, совместно участвующих в процедуре государственной закупки, участником признаются все стороны соглашения о совместном участии в процедуре государственной закупки. Договор заключается с участником, получившим предложение о заключении договора в случае проведения процедуры закупки из одного источника от имени всех юридических и (или) физических лиц, в том числе индивидуальных предпринимателей, совместно участвующих в процедуре государственной закупки; </w:t>
            </w:r>
          </w:p>
          <w:p>
            <w:pPr>
              <w:pStyle w:val="p-normal"/>
              <w:shd w:val="clear" w:color="auto" w:fill="FFFFFF"/>
              <w:spacing w:before="0" w:beforeAutospacing="0" w:after="0" w:afterAutospacing="0"/>
              <w:ind w:firstLine="709"/>
              <w:jc w:val="both"/>
              <w:rPr>
                <w:rStyle w:val="word-wrapper"/>
                <w:sz w:val="22"/>
                <w:szCs w:val="22"/>
              </w:rPr>
            </w:pPr>
            <w:r>
              <w:rPr>
                <w:rStyle w:val="word-wrapper"/>
                <w:sz w:val="22"/>
                <w:szCs w:val="22"/>
              </w:rPr>
              <w:lastRenderedPageBreak/>
              <w:t>стороны соглашения о совместном участии в процедуре государственной закупки несут солидарную ответственность по обязательствам, возникшим в связи с заключением договора, за исключением ответственности в виде включения в список. Включение в список производится при наличии оснований, предусмотренных пунктом 1 статьи 17</w:t>
            </w:r>
            <w:r>
              <w:rPr>
                <w:rStyle w:val="fake-non-breaking-space"/>
                <w:sz w:val="22"/>
                <w:szCs w:val="22"/>
              </w:rPr>
              <w:t> </w:t>
            </w:r>
            <w:r>
              <w:rPr>
                <w:rStyle w:val="word-wrapper"/>
                <w:sz w:val="22"/>
                <w:szCs w:val="22"/>
              </w:rPr>
              <w:t xml:space="preserve"> Закона Республики Беларусь от 13.07.2012 N 419-З "О государственных закупках товаров (работ, услуг)", в отношении конкретного юридического или физического лица, в том числе индивидуального предпринимателя, являющегося стороной соглашения о совместном участии в процедуре государственной закупки.</w:t>
            </w:r>
          </w:p>
          <w:p>
            <w:pPr>
              <w:pStyle w:val="p-normal"/>
              <w:shd w:val="clear" w:color="auto" w:fill="FFFFFF"/>
              <w:spacing w:before="0" w:beforeAutospacing="0" w:after="0" w:afterAutospacing="0"/>
              <w:jc w:val="both"/>
              <w:rPr>
                <w:b/>
                <w:sz w:val="22"/>
                <w:szCs w:val="22"/>
              </w:rPr>
            </w:pPr>
          </w:p>
        </w:tc>
      </w:tr>
      <w:tr>
        <w:tc>
          <w:tcPr>
            <w:tcW w:w="3134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Требование о предоставлении обеспечения исполнения обязательств по договору 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4" w:space="0" w:color="auto"/>
              <w:right w:val="single" w:sz="6" w:space="0" w:color="auto"/>
            </w:tcBorders>
            <w:hideMark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Не требуется</w:t>
            </w:r>
          </w:p>
        </w:tc>
      </w:tr>
      <w:tr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Порядок действий заказчика в случае предложения одинаковых цен поставщиками (подрядчиками, исполнителями)</w:t>
            </w:r>
          </w:p>
        </w:tc>
        <w:tc>
          <w:tcPr>
            <w:tcW w:w="6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Если несколько потенциальных поставщиков предложили одинаковые цены, заказчик (организатор) обращается к ним с запросом о снижении предложенной цены. Если после получения ответов цены остаются равными, при прочих равных условиях предпочтение отдается поставщику, первым представившему ответ на запрос о снижении цены.</w:t>
            </w:r>
          </w:p>
        </w:tc>
      </w:tr>
      <w:tr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Договор</w:t>
            </w:r>
          </w:p>
        </w:tc>
        <w:tc>
          <w:tcPr>
            <w:tcW w:w="6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По результатам проведения процедуры закупки из одного источника на электронной торговой площадке договор государственной закупки заключается в письменной форме в виде электронного документа на электронной торговой площадке. Проекты договоров прилагаются к заявке на закупку.  Договор подлежит подписанию участником не позднее чем через 5 рабочих дней с даты подписания участником заявления о соответствии требованиям к составу участников.</w:t>
            </w:r>
          </w:p>
        </w:tc>
      </w:tr>
      <w:tr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Иные условия</w:t>
            </w:r>
          </w:p>
        </w:tc>
        <w:tc>
          <w:tcPr>
            <w:tcW w:w="6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lang w:eastAsia="ru-RU"/>
              </w:rPr>
              <w:t xml:space="preserve">В случае необходимости более длительного срока для подготовки документов и (или) сведений потенциальный участник должен проинформировать организатора дополнительно.  </w:t>
            </w:r>
          </w:p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lang w:eastAsia="ru-RU"/>
              </w:rPr>
              <w:t>В случае отсутствия ответа на запрос в указанный срок, комиссия переходит к рассмотрению позиции без вашего предложения.</w:t>
            </w:r>
          </w:p>
        </w:tc>
      </w:tr>
    </w:tbl>
    <w:p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Заместитель генерального директора- </w:t>
      </w:r>
    </w:p>
    <w:p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начальник отдела маркетинга, </w:t>
      </w:r>
    </w:p>
    <w:p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ВЭД и тендерных закупок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                    </w:t>
      </w:r>
      <w:bookmarkStart w:id="2" w:name="_GoBack"/>
      <w:bookmarkEnd w:id="2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Трухан Т.П.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Провизор-маркетолог отдела </w:t>
      </w:r>
    </w:p>
    <w:p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маркетинга, ВЭД и тендерных </w:t>
      </w:r>
    </w:p>
    <w:p>
      <w:pPr>
        <w:tabs>
          <w:tab w:val="left" w:pos="426"/>
          <w:tab w:val="left" w:pos="680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закупок                                                                                   Мельниченко О.А.</w:t>
      </w:r>
    </w:p>
    <w:p>
      <w:pPr>
        <w:spacing w:after="160" w:line="259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Calibri" w:eastAsia="Calibri" w:hAnsi="Calibri" w:cs="Times New Roman"/>
          <w:color w:val="000000"/>
          <w:sz w:val="28"/>
          <w:szCs w:val="28"/>
        </w:rPr>
        <w:br w:type="page"/>
      </w:r>
    </w:p>
    <w:p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>
      <w:pPr>
        <w:shd w:val="clear" w:color="auto" w:fill="FFFFFF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Приложение 3 </w:t>
      </w:r>
    </w:p>
    <w:p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>
      <w:pPr>
        <w:spacing w:after="160" w:line="259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Заявление </w:t>
      </w:r>
    </w:p>
    <w:p>
      <w:pPr>
        <w:spacing w:after="160" w:line="259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b/>
          <w:color w:val="000000"/>
          <w:sz w:val="28"/>
          <w:szCs w:val="28"/>
        </w:rPr>
        <w:t>(для нерезидентов Республики Беларусь)</w:t>
      </w:r>
    </w:p>
    <w:p>
      <w:pPr>
        <w:spacing w:after="160" w:line="259" w:lineRule="auto"/>
        <w:rPr>
          <w:rFonts w:ascii="Calibri" w:eastAsia="Calibri" w:hAnsi="Calibri" w:cs="Times New Roman"/>
          <w:sz w:val="28"/>
          <w:szCs w:val="28"/>
        </w:rPr>
      </w:pPr>
    </w:p>
    <w:p>
      <w:pPr>
        <w:keepNext/>
        <w:keepLines/>
        <w:spacing w:after="0" w:line="240" w:lineRule="auto"/>
        <w:ind w:firstLine="540"/>
        <w:jc w:val="both"/>
        <w:outlineLvl w:val="0"/>
        <w:rPr>
          <w:rFonts w:ascii="Times New Roman" w:eastAsia="Times New Roman" w:hAnsi="Times New Roman" w:cs="Times New Roman"/>
          <w:bCs/>
          <w:color w:val="2A3439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Участник _______________________________________________________ заявляет, что последняя отчетная дата, предшествующая дню заключения договора при проведении процедуры закупки из одного источника, —  ______________</w:t>
      </w:r>
      <w:r>
        <w:rPr>
          <w:rFonts w:ascii="Times New Roman" w:eastAsia="Times New Roman" w:hAnsi="Times New Roman" w:cs="Times New Roman"/>
          <w:bCs/>
          <w:color w:val="2A3439"/>
          <w:sz w:val="28"/>
          <w:szCs w:val="28"/>
          <w:shd w:val="clear" w:color="auto" w:fill="FFFFFF"/>
        </w:rPr>
        <w:t>.</w:t>
      </w:r>
    </w:p>
    <w:p>
      <w:pPr>
        <w:spacing w:after="160" w:line="259" w:lineRule="auto"/>
        <w:rPr>
          <w:rFonts w:ascii="Calibri" w:eastAsia="Calibri" w:hAnsi="Calibri" w:cs="Times New Roman"/>
          <w:bCs/>
          <w:color w:val="2A3439"/>
          <w:sz w:val="28"/>
          <w:szCs w:val="28"/>
          <w:shd w:val="clear" w:color="auto" w:fill="FFFFFF"/>
        </w:rPr>
      </w:pPr>
    </w:p>
    <w:p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page"/>
      </w:r>
    </w:p>
    <w:p>
      <w:pPr>
        <w:shd w:val="clear" w:color="auto" w:fill="FFFFFF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Приложение 4 </w:t>
      </w:r>
    </w:p>
    <w:p>
      <w:pPr>
        <w:spacing w:after="160" w:line="259" w:lineRule="auto"/>
        <w:rPr>
          <w:rFonts w:ascii="Calibri" w:eastAsia="Calibri" w:hAnsi="Calibri" w:cs="Times New Roman"/>
          <w:sz w:val="28"/>
          <w:szCs w:val="28"/>
        </w:rPr>
      </w:pPr>
    </w:p>
    <w:p>
      <w:pPr>
        <w:spacing w:after="160" w:line="259" w:lineRule="auto"/>
        <w:rPr>
          <w:rFonts w:ascii="Calibri" w:eastAsia="Calibri" w:hAnsi="Calibri" w:cs="Times New Roman"/>
          <w:sz w:val="28"/>
          <w:szCs w:val="28"/>
        </w:rPr>
      </w:pPr>
    </w:p>
    <w:p>
      <w:pPr>
        <w:spacing w:after="160" w:line="259" w:lineRule="auto"/>
        <w:rPr>
          <w:rFonts w:ascii="Calibri" w:eastAsia="Calibri" w:hAnsi="Calibri" w:cs="Times New Roman"/>
          <w:sz w:val="28"/>
          <w:szCs w:val="28"/>
        </w:rPr>
      </w:pPr>
    </w:p>
    <w:p>
      <w:pPr>
        <w:spacing w:after="160" w:line="259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b/>
          <w:sz w:val="28"/>
          <w:szCs w:val="28"/>
        </w:rPr>
        <w:t>Информация для подготовки договора/контракта</w:t>
      </w:r>
    </w:p>
    <w:p>
      <w:pPr>
        <w:tabs>
          <w:tab w:val="left" w:pos="990"/>
        </w:tabs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Наименование участника</w:t>
            </w: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Ф.И.О., должность подписанта (исключительно лицо, владеющее электронной цифровой подписью для подписания договора на электронной торговой площадке)</w:t>
            </w: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 основании какого документа действует подписант</w:t>
            </w: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Юридический, почтовый адрес</w:t>
            </w:r>
          </w:p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Банковские реквизиты</w:t>
            </w: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</w:tbl>
    <w:p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</w:p>
    <w:p/>
    <w:p>
      <w:pPr>
        <w:tabs>
          <w:tab w:val="left" w:pos="426"/>
          <w:tab w:val="left" w:pos="680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/>
    <w:sectPr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5C61EA8"/>
    <w:multiLevelType w:val="hybridMultilevel"/>
    <w:tmpl w:val="70307580"/>
    <w:lvl w:ilvl="0" w:tplc="D242B58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ED77703"/>
    <w:multiLevelType w:val="hybridMultilevel"/>
    <w:tmpl w:val="EF44BB0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39F4789-6BF2-410B-872A-F804A4F1CB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Pr>
      <w:sz w:val="16"/>
      <w:szCs w:val="16"/>
    </w:rPr>
  </w:style>
  <w:style w:type="paragraph" w:customStyle="1" w:styleId="1">
    <w:name w:val="Текст примечания1"/>
    <w:basedOn w:val="a"/>
    <w:next w:val="a4"/>
    <w:link w:val="a5"/>
    <w:uiPriority w:val="99"/>
    <w:semiHidden/>
    <w:unhideWhenUsed/>
    <w:pPr>
      <w:spacing w:after="160"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1"/>
    <w:uiPriority w:val="99"/>
    <w:semiHidden/>
    <w:rPr>
      <w:sz w:val="20"/>
      <w:szCs w:val="20"/>
    </w:rPr>
  </w:style>
  <w:style w:type="paragraph" w:styleId="a4">
    <w:name w:val="annotation text"/>
    <w:basedOn w:val="a"/>
    <w:link w:val="10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10">
    <w:name w:val="Текст примечания Знак1"/>
    <w:basedOn w:val="a0"/>
    <w:link w:val="a4"/>
    <w:uiPriority w:val="99"/>
    <w:semiHidden/>
    <w:rPr>
      <w:sz w:val="20"/>
      <w:szCs w:val="20"/>
    </w:rPr>
  </w:style>
  <w:style w:type="paragraph" w:styleId="a6">
    <w:name w:val="Balloon Text"/>
    <w:basedOn w:val="a"/>
    <w:link w:val="a7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Pr>
      <w:rFonts w:ascii="Tahoma" w:hAnsi="Tahoma" w:cs="Tahoma"/>
      <w:sz w:val="16"/>
      <w:szCs w:val="16"/>
    </w:rPr>
  </w:style>
  <w:style w:type="character" w:styleId="a8">
    <w:name w:val="Hyperlink"/>
    <w:uiPriority w:val="99"/>
    <w:semiHidden/>
    <w:unhideWhenUsed/>
    <w:rPr>
      <w:color w:val="0000FF"/>
      <w:u w:val="single"/>
    </w:rPr>
  </w:style>
  <w:style w:type="paragraph" w:customStyle="1" w:styleId="ConsPlusNormal">
    <w:name w:val="ConsPlusNormal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p-normal">
    <w:name w:val="p-normal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ord-wrapper">
    <w:name w:val="word-wrapper"/>
  </w:style>
  <w:style w:type="paragraph" w:styleId="a9">
    <w:name w:val="List Paragraph"/>
    <w:basedOn w:val="a"/>
    <w:uiPriority w:val="34"/>
    <w:qFormat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fake-non-breaking-space">
    <w:name w:val="fake-non-breaking-spac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ACF2CA347A473E7528885048A22EB4569C6C8733151A8FD6DB3077FAF641F75B05220C2CEF313DAEA7F15A6E3BY4W9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85C1D7-D8AD-4310-ACD1-17BFE971CF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</TotalTime>
  <Pages>14</Pages>
  <Words>5261</Words>
  <Characters>29993</Characters>
  <Application>Microsoft Office Word</Application>
  <DocSecurity>0</DocSecurity>
  <Lines>249</Lines>
  <Paragraphs>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35184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Полещук Анна Марьяновна</dc:creator>
  <cp:lastModifiedBy>Мельниченко О.А.</cp:lastModifiedBy>
  <cp:revision>37</cp:revision>
  <cp:lastPrinted>2026-05-13T13:10:00Z</cp:lastPrinted>
  <dcterms:created xsi:type="dcterms:W3CDTF">2025-08-27T19:48:00Z</dcterms:created>
  <dcterms:modified xsi:type="dcterms:W3CDTF">2026-05-29T08:29:00Z</dcterms:modified>
</cp:coreProperties>
</file>