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6D" w:rsidRDefault="00C11D6D" w:rsidP="00C11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 ПОСТАВКИ №</w:t>
      </w:r>
    </w:p>
    <w:p w:rsidR="00C11D6D" w:rsidRDefault="00C11D6D" w:rsidP="00C11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(проект договора в отношении каждого из лотов)  </w:t>
      </w:r>
    </w:p>
    <w:p w:rsidR="00C11D6D" w:rsidRDefault="00C11D6D" w:rsidP="00C11D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Минск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___________2020 г.</w:t>
      </w:r>
    </w:p>
    <w:p w:rsidR="00C11D6D" w:rsidRDefault="00C11D6D" w:rsidP="00C11D6D">
      <w:pPr>
        <w:pStyle w:val="1"/>
        <w:tabs>
          <w:tab w:val="left" w:pos="108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________________________________________________________________,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именуемое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дальнейшем Поставщик, в лице _________________________________, действующего на основании _______, с одной стороны,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и______________________________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>, именуемое в дальнейшем Покупатель, в лице _____________________, действующего на основании __________, с другой стороны, заключили настоящий договор о следующем:</w:t>
      </w:r>
    </w:p>
    <w:p w:rsidR="00C11D6D" w:rsidRDefault="00C11D6D" w:rsidP="00C11D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:rsidR="00C11D6D" w:rsidRDefault="00C11D6D" w:rsidP="00C11D6D">
      <w:pPr>
        <w:pStyle w:val="1"/>
        <w:numPr>
          <w:ilvl w:val="1"/>
          <w:numId w:val="1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условиям настоящего договора </w:t>
      </w:r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>Поставщик обязуется передать в собственность Покупателя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 xml:space="preserve"> (далее—Товар) – в количестве, ассортименте и по ценам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 xml:space="preserve">согласно спецификации к договору </w:t>
      </w:r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br/>
        <w:t xml:space="preserve">№ __ </w:t>
      </w:r>
      <w:proofErr w:type="gramStart"/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>от</w:t>
      </w:r>
      <w:proofErr w:type="gramEnd"/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 xml:space="preserve"> ____ (</w:t>
      </w:r>
      <w:proofErr w:type="gramStart"/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>Приложение</w:t>
      </w:r>
      <w:proofErr w:type="gramEnd"/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 xml:space="preserve"> 1), являющейся неотъемлемой частью настоящего Договора, а Покупатель обязуется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принять Товар, и оплатить его стоимость на условиях предусмотренных настоящим Договором.</w:t>
      </w:r>
    </w:p>
    <w:p w:rsidR="00C11D6D" w:rsidRDefault="00C11D6D" w:rsidP="00C11D6D">
      <w:pPr>
        <w:pStyle w:val="1"/>
        <w:numPr>
          <w:ilvl w:val="1"/>
          <w:numId w:val="1"/>
        </w:numPr>
        <w:spacing w:before="0" w:after="0"/>
        <w:ind w:left="0" w:firstLine="709"/>
        <w:jc w:val="both"/>
        <w:rPr>
          <w:rFonts w:ascii="Times New Roman" w:eastAsia="MS Mincho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>Цель приобретения Покупателем Товара: для собственного потребления.</w:t>
      </w:r>
    </w:p>
    <w:p w:rsidR="00C11D6D" w:rsidRDefault="00C11D6D" w:rsidP="00C11D6D">
      <w:pPr>
        <w:pStyle w:val="my"/>
        <w:widowControl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СТОИМОСТЬ ТОВАРА, ПОРЯДОК ОПЛАТЫ</w:t>
      </w:r>
    </w:p>
    <w:p w:rsidR="00C11D6D" w:rsidRDefault="00C11D6D" w:rsidP="00C11D6D">
      <w:pPr>
        <w:pStyle w:val="my"/>
        <w:widowControl/>
        <w:numPr>
          <w:ilvl w:val="0"/>
          <w:numId w:val="2"/>
        </w:numPr>
        <w:tabs>
          <w:tab w:val="clear" w:pos="900"/>
          <w:tab w:val="left" w:pos="1080"/>
          <w:tab w:val="num" w:pos="144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Общая стоимость Товара, поставляемого по настоящему Договору согласно спецификации составляет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 xml:space="preserve">(___________)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рублей, в том числе НДС по ставке __%: _____ (_____________) рублей.</w:t>
      </w:r>
    </w:p>
    <w:p w:rsidR="00C11D6D" w:rsidRDefault="00C11D6D" w:rsidP="00C11D6D">
      <w:pPr>
        <w:pStyle w:val="my"/>
        <w:widowControl/>
        <w:numPr>
          <w:ilvl w:val="1"/>
          <w:numId w:val="3"/>
        </w:numPr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Расчеты между сторонами осуществляются в рублях (</w:t>
      </w:r>
      <w:r>
        <w:rPr>
          <w:rFonts w:ascii="Times New Roman" w:hAnsi="Times New Roman" w:cs="Times New Roman"/>
          <w:sz w:val="28"/>
          <w:szCs w:val="28"/>
          <w:lang w:val="en-US"/>
        </w:rPr>
        <w:t>BYN</w:t>
      </w:r>
      <w:r>
        <w:rPr>
          <w:rFonts w:ascii="Times New Roman" w:hAnsi="Times New Roman" w:cs="Times New Roman"/>
          <w:sz w:val="28"/>
          <w:szCs w:val="28"/>
        </w:rPr>
        <w:t>). Покупатель производит оплату через органы государственного казначейства путем перечисления денежных средств на расчетный счет Поставщика по факту поставки Товара не позднее 20 (двадцати) банковских дней после даты подписания товарно-транспортной накладной (товарной накладной). Обязательства Покупателя по оплате считаются выполненными с момента передачи в территориальные органы государственного казначейства полного комплекта документов, необходимых для оплаты.</w:t>
      </w:r>
    </w:p>
    <w:p w:rsidR="00C11D6D" w:rsidRDefault="00C11D6D" w:rsidP="00C11D6D">
      <w:pPr>
        <w:pStyle w:val="my"/>
        <w:widowControl/>
        <w:numPr>
          <w:ilvl w:val="1"/>
          <w:numId w:val="4"/>
        </w:numPr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республиканский бюджет.</w:t>
      </w:r>
    </w:p>
    <w:p w:rsidR="00C11D6D" w:rsidRDefault="00C11D6D" w:rsidP="00C11D6D">
      <w:pPr>
        <w:widowControl w:val="0"/>
        <w:numPr>
          <w:ilvl w:val="0"/>
          <w:numId w:val="1"/>
        </w:numPr>
        <w:tabs>
          <w:tab w:val="left" w:pos="207"/>
          <w:tab w:val="left" w:pos="432"/>
          <w:tab w:val="left" w:pos="972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И ПОРЯДОК ПОСТАВКИ ТОВАРА, ПРАВО СОБСТВЕННОСТИ</w:t>
      </w:r>
    </w:p>
    <w:p w:rsidR="00C11D6D" w:rsidRDefault="00C11D6D" w:rsidP="00C11D6D">
      <w:pPr>
        <w:pStyle w:val="a3"/>
        <w:numPr>
          <w:ilvl w:val="1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обязуется передать в собственность Покупателя Товар, указанный в спецификации до 01.09.2020г. </w:t>
      </w:r>
    </w:p>
    <w:p w:rsidR="00C11D6D" w:rsidRDefault="00C11D6D" w:rsidP="00C11D6D">
      <w:pPr>
        <w:pStyle w:val="a3"/>
        <w:numPr>
          <w:ilvl w:val="1"/>
          <w:numId w:val="1"/>
        </w:numPr>
        <w:tabs>
          <w:tab w:val="left" w:pos="1080"/>
        </w:tabs>
        <w:ind w:left="0" w:firstLine="709"/>
        <w:jc w:val="both"/>
        <w:rPr>
          <w:rStyle w:val="h-consnonformat"/>
        </w:rPr>
      </w:pPr>
      <w:r>
        <w:rPr>
          <w:rStyle w:val="h-consnonformat"/>
          <w:sz w:val="28"/>
          <w:szCs w:val="28"/>
        </w:rPr>
        <w:t>Досрочная  поставка Товара может производиться только с</w:t>
      </w:r>
      <w:r>
        <w:rPr>
          <w:sz w:val="28"/>
          <w:szCs w:val="28"/>
        </w:rPr>
        <w:t xml:space="preserve"> </w:t>
      </w:r>
      <w:r>
        <w:rPr>
          <w:rStyle w:val="h-consnonformat"/>
          <w:sz w:val="28"/>
          <w:szCs w:val="28"/>
        </w:rPr>
        <w:t>согласия Покупателя.</w:t>
      </w:r>
    </w:p>
    <w:p w:rsidR="00C11D6D" w:rsidRDefault="00C11D6D" w:rsidP="00C11D6D">
      <w:pPr>
        <w:pStyle w:val="a3"/>
        <w:numPr>
          <w:ilvl w:val="1"/>
          <w:numId w:val="1"/>
        </w:numPr>
        <w:tabs>
          <w:tab w:val="left" w:pos="1080"/>
        </w:tabs>
        <w:ind w:left="0" w:firstLine="709"/>
        <w:jc w:val="both"/>
      </w:pPr>
      <w:r>
        <w:rPr>
          <w:sz w:val="28"/>
          <w:szCs w:val="28"/>
        </w:rPr>
        <w:t xml:space="preserve">Товар поставляется транспортом Поставщика и за его счет на склад Покупателя: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Минск, ул. Серова, 1Б.</w:t>
      </w:r>
    </w:p>
    <w:p w:rsidR="00C11D6D" w:rsidRDefault="00C11D6D" w:rsidP="00C11D6D">
      <w:pPr>
        <w:pStyle w:val="a3"/>
        <w:numPr>
          <w:ilvl w:val="1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Право собственности на Товар переходит от Поставщика к Покупателю с момента передачи Товара.</w:t>
      </w:r>
    </w:p>
    <w:p w:rsidR="00C11D6D" w:rsidRDefault="00C11D6D" w:rsidP="00C11D6D">
      <w:pPr>
        <w:pStyle w:val="a3"/>
        <w:numPr>
          <w:ilvl w:val="1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Поставщик обязан: письменно, не позднее, чем за 3 (три) рабочих дня до планируемой доставки Товара, направить Покупателю уведомление о поставке.  </w:t>
      </w:r>
      <w:r>
        <w:rPr>
          <w:sz w:val="28"/>
          <w:szCs w:val="28"/>
        </w:rPr>
        <w:tab/>
      </w:r>
    </w:p>
    <w:p w:rsidR="00C11D6D" w:rsidRDefault="00C11D6D" w:rsidP="00C11D6D">
      <w:pPr>
        <w:pStyle w:val="a3"/>
        <w:numPr>
          <w:ilvl w:val="1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Датой поставки Товара считается дата подписания товаросопроводительных документов.</w:t>
      </w:r>
    </w:p>
    <w:p w:rsidR="00C11D6D" w:rsidRDefault="00C11D6D" w:rsidP="00C11D6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нерезидентов Республики Беларусь: датой поставки Товара считается дата их помещения под таможенные процедуры, предусмотренные Таможенным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Таможенного союза.</w:t>
      </w:r>
    </w:p>
    <w:p w:rsidR="00C11D6D" w:rsidRDefault="00C11D6D" w:rsidP="00C11D6D">
      <w:pPr>
        <w:pStyle w:val="a3"/>
        <w:numPr>
          <w:ilvl w:val="1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случайной гибели, порчи или случайного повреждения имущества переходит к Покупателю одновременно с переходом права собственности на Товар. </w:t>
      </w:r>
    </w:p>
    <w:p w:rsidR="00C11D6D" w:rsidRDefault="00C11D6D" w:rsidP="00C11D6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КАЧЕСТВО ТОВАРА, ПОРЯДОК ПРИЕМКИ</w:t>
      </w:r>
    </w:p>
    <w:p w:rsidR="00C11D6D" w:rsidRDefault="00C11D6D" w:rsidP="00C11D6D">
      <w:pPr>
        <w:pStyle w:val="a3"/>
        <w:numPr>
          <w:ilvl w:val="1"/>
          <w:numId w:val="7"/>
        </w:numPr>
        <w:tabs>
          <w:tab w:val="left" w:pos="1080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Качество Продукции должно соответствовать требованиям</w:t>
      </w:r>
      <w:r>
        <w:rPr>
          <w:color w:val="FF0000"/>
          <w:sz w:val="28"/>
          <w:szCs w:val="28"/>
        </w:rPr>
        <w:t xml:space="preserve"> </w:t>
      </w:r>
      <w:r>
        <w:rPr>
          <w:rStyle w:val="h-normal"/>
          <w:sz w:val="28"/>
          <w:szCs w:val="28"/>
        </w:rPr>
        <w:t>Технического Регламента Таможенного Союза «О безопасности низковольтного оборудования» (</w:t>
      </w:r>
      <w:proofErr w:type="gramStart"/>
      <w:r>
        <w:rPr>
          <w:rStyle w:val="h-normal"/>
          <w:sz w:val="28"/>
          <w:szCs w:val="28"/>
        </w:rPr>
        <w:t>ТР</w:t>
      </w:r>
      <w:proofErr w:type="gramEnd"/>
      <w:r>
        <w:rPr>
          <w:rStyle w:val="h-normal"/>
          <w:sz w:val="28"/>
          <w:szCs w:val="28"/>
        </w:rPr>
        <w:t xml:space="preserve"> ТС 004/2011), путем предоставления соответствующих документов при поставке Товара</w:t>
      </w:r>
      <w:r>
        <w:rPr>
          <w:color w:val="FF0000"/>
          <w:sz w:val="28"/>
          <w:szCs w:val="28"/>
        </w:rPr>
        <w:t>.</w:t>
      </w:r>
    </w:p>
    <w:p w:rsidR="00C11D6D" w:rsidRDefault="00C11D6D" w:rsidP="00C11D6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Приемка товара по количеству и качеству осуществляется в соответствии с постановлением Совета Министров Республики Беларусь от </w:t>
      </w:r>
      <w:r>
        <w:rPr>
          <w:rFonts w:ascii="Times New Roman" w:hAnsi="Times New Roman" w:cs="Times New Roman"/>
          <w:sz w:val="28"/>
          <w:szCs w:val="28"/>
        </w:rPr>
        <w:br/>
        <w:t>3 сентября 2008г. № 1290 «Об утверждении Положения о приемке товаров по количеству и качеству» на территории Покупателя.</w:t>
      </w:r>
    </w:p>
    <w:p w:rsidR="00C11D6D" w:rsidRDefault="00C11D6D" w:rsidP="00C11D6D">
      <w:pPr>
        <w:pStyle w:val="a3"/>
        <w:numPr>
          <w:ilvl w:val="1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приемки по качеству сторонами совместно может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sz w:val="28"/>
          <w:szCs w:val="28"/>
        </w:rPr>
        <w:t xml:space="preserve"> входной контроль Товара в соответствии с законодательством Республики Беларусь.</w:t>
      </w:r>
    </w:p>
    <w:p w:rsidR="00C11D6D" w:rsidRDefault="00C11D6D" w:rsidP="00C11D6D">
      <w:pPr>
        <w:pStyle w:val="a3"/>
        <w:numPr>
          <w:ilvl w:val="1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в ходе приемки Товара по качеству недостатков, они должны быть устранены Поставщиком до истечения срока поставки предусмотренного п. 3.1. договора, с учетом срока предусмотренного </w:t>
      </w:r>
      <w:proofErr w:type="spellStart"/>
      <w:r>
        <w:rPr>
          <w:sz w:val="28"/>
          <w:szCs w:val="28"/>
        </w:rPr>
        <w:t>абз</w:t>
      </w:r>
      <w:proofErr w:type="spellEnd"/>
      <w:r>
        <w:rPr>
          <w:sz w:val="28"/>
          <w:szCs w:val="28"/>
        </w:rPr>
        <w:t>. 2 п.16 Положения о приемке товаров по количеству и качеству, утвержденного Постановлением Совета Министров Республики Беларусь от 3 сентября 2008 г. № 1290.</w:t>
      </w:r>
      <w:proofErr w:type="gramEnd"/>
    </w:p>
    <w:p w:rsidR="00C11D6D" w:rsidRDefault="00C11D6D" w:rsidP="00C11D6D">
      <w:pPr>
        <w:pStyle w:val="a3"/>
        <w:numPr>
          <w:ilvl w:val="1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устранения недостатков в установленный подпунктом 4.4. срок Покупатель имеет право взыскания санкций за несвоевременную поставку, </w:t>
      </w:r>
      <w:proofErr w:type="gramStart"/>
      <w:r>
        <w:rPr>
          <w:sz w:val="28"/>
          <w:szCs w:val="28"/>
        </w:rPr>
        <w:t>с даты истечения</w:t>
      </w:r>
      <w:proofErr w:type="gramEnd"/>
      <w:r>
        <w:rPr>
          <w:sz w:val="28"/>
          <w:szCs w:val="28"/>
        </w:rPr>
        <w:t xml:space="preserve"> срока поставки товара.</w:t>
      </w:r>
    </w:p>
    <w:p w:rsidR="00C11D6D" w:rsidRDefault="00C11D6D" w:rsidP="00C11D6D">
      <w:pPr>
        <w:pStyle w:val="3"/>
        <w:widowControl w:val="0"/>
        <w:numPr>
          <w:ilvl w:val="0"/>
          <w:numId w:val="9"/>
        </w:numPr>
        <w:tabs>
          <w:tab w:val="left" w:pos="207"/>
          <w:tab w:val="left" w:pos="432"/>
          <w:tab w:val="left" w:pos="720"/>
          <w:tab w:val="left" w:pos="900"/>
          <w:tab w:val="left" w:pos="993"/>
          <w:tab w:val="left" w:pos="1260"/>
        </w:tabs>
        <w:spacing w:before="0" w:after="0" w:line="24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Форс-мажорные обстоятельства</w:t>
      </w:r>
    </w:p>
    <w:p w:rsidR="00C11D6D" w:rsidRDefault="00C11D6D" w:rsidP="00C11D6D">
      <w:pPr>
        <w:numPr>
          <w:ilvl w:val="0"/>
          <w:numId w:val="10"/>
        </w:numPr>
        <w:tabs>
          <w:tab w:val="clear" w:pos="928"/>
          <w:tab w:val="left" w:pos="1080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одна из сторон,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именно: наводнение, пожар, землетрясение, другие стихийные бедствия, война или военные действия, а также принятие законов и других нормативных правовых актов в пределах Республики Беларусь, препятствующих должному исполнению обязательств сторон.</w:t>
      </w:r>
      <w:proofErr w:type="gramEnd"/>
    </w:p>
    <w:p w:rsidR="00C11D6D" w:rsidRDefault="00C11D6D" w:rsidP="00C11D6D">
      <w:pPr>
        <w:numPr>
          <w:ilvl w:val="0"/>
          <w:numId w:val="10"/>
        </w:numPr>
        <w:tabs>
          <w:tab w:val="clear" w:pos="928"/>
          <w:tab w:val="left" w:pos="1080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любое из таких обстоятельств непосредственно повлекло неисполнение обязательств по настоящему Договору в срок, то этот срок соразмерно отодвигается на время действия соответствующего обстоятельства.</w:t>
      </w:r>
    </w:p>
    <w:p w:rsidR="00C11D6D" w:rsidRDefault="00C11D6D" w:rsidP="00C11D6D">
      <w:pPr>
        <w:numPr>
          <w:ilvl w:val="0"/>
          <w:numId w:val="10"/>
        </w:numPr>
        <w:tabs>
          <w:tab w:val="clear" w:pos="928"/>
          <w:tab w:val="left" w:pos="1080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Сторона,  для которой выполнение обязательство стало невозможным, должна в течение 5 суток проинформировать в письменной форме о начале и предполагаемой продолжительности вышеупомянутых обстоятельств.</w:t>
      </w:r>
    </w:p>
    <w:p w:rsidR="00C11D6D" w:rsidRDefault="00C11D6D" w:rsidP="00C11D6D">
      <w:pPr>
        <w:numPr>
          <w:ilvl w:val="0"/>
          <w:numId w:val="10"/>
        </w:numPr>
        <w:tabs>
          <w:tab w:val="clear" w:pos="928"/>
          <w:tab w:val="left" w:pos="1080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одна из сторон не вышлет сообщения или сделает это с опозданием против указанного в п. 5.3. срока, она теряет право использовать любое из перечисленных в п. 5.1. обстоятельств в качестве причины, освобождающей её от ответственности за невыполнение настоящего Договора.</w:t>
      </w:r>
    </w:p>
    <w:p w:rsidR="00C11D6D" w:rsidRDefault="00C11D6D" w:rsidP="00C11D6D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Ответственность сторон</w:t>
      </w:r>
    </w:p>
    <w:p w:rsidR="00C11D6D" w:rsidRDefault="00C11D6D" w:rsidP="00C11D6D">
      <w:pPr>
        <w:pStyle w:val="a3"/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условий настоящего Договора стороны несут ответственность в соответствии с законодательством Республики Беларусь, а в части ответственности за </w:t>
      </w:r>
      <w:proofErr w:type="spellStart"/>
      <w:r>
        <w:rPr>
          <w:sz w:val="28"/>
          <w:szCs w:val="28"/>
        </w:rPr>
        <w:t>непоставку</w:t>
      </w:r>
      <w:proofErr w:type="spellEnd"/>
      <w:r>
        <w:rPr>
          <w:sz w:val="28"/>
          <w:szCs w:val="28"/>
        </w:rPr>
        <w:t xml:space="preserve"> или недопоставку Товара согласно условиям договора Поставщик уплачивает Покупателю неустойку (штраф) в размере 25 % стоимости </w:t>
      </w:r>
      <w:proofErr w:type="spellStart"/>
      <w:r>
        <w:rPr>
          <w:sz w:val="28"/>
          <w:szCs w:val="28"/>
        </w:rPr>
        <w:t>непоставленного</w:t>
      </w:r>
      <w:proofErr w:type="spellEnd"/>
      <w:r>
        <w:rPr>
          <w:sz w:val="28"/>
          <w:szCs w:val="28"/>
        </w:rPr>
        <w:t xml:space="preserve"> или            недопоставленного в срок Товара.</w:t>
      </w:r>
    </w:p>
    <w:p w:rsidR="00C11D6D" w:rsidRDefault="00C11D6D" w:rsidP="00C11D6D">
      <w:pPr>
        <w:numPr>
          <w:ilvl w:val="0"/>
          <w:numId w:val="11"/>
        </w:numPr>
        <w:tabs>
          <w:tab w:val="clear" w:pos="360"/>
          <w:tab w:val="num" w:pos="1080"/>
          <w:tab w:val="num" w:pos="12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неустойки не освобождает стороны от исполнения обязательств по Договору.</w:t>
      </w:r>
    </w:p>
    <w:p w:rsidR="00C11D6D" w:rsidRDefault="00C11D6D" w:rsidP="00C11D6D">
      <w:pPr>
        <w:numPr>
          <w:ilvl w:val="0"/>
          <w:numId w:val="11"/>
        </w:numPr>
        <w:tabs>
          <w:tab w:val="clear" w:pos="360"/>
          <w:tab w:val="num" w:pos="1080"/>
          <w:tab w:val="num" w:pos="121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C11D6D" w:rsidRDefault="00C11D6D" w:rsidP="00C11D6D">
      <w:pPr>
        <w:numPr>
          <w:ilvl w:val="0"/>
          <w:numId w:val="11"/>
        </w:numPr>
        <w:tabs>
          <w:tab w:val="clear" w:pos="360"/>
          <w:tab w:val="num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разрешения споров путем переговоров после реализации предусмотренных законодательством процедур досудебного урегулирования разногласий, передают их на рассмотрение в Экономический суд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Минска.</w:t>
      </w:r>
    </w:p>
    <w:p w:rsidR="00C11D6D" w:rsidRDefault="00C11D6D" w:rsidP="00C11D6D">
      <w:pPr>
        <w:pStyle w:val="ConsPlusNormal"/>
        <w:widowControl w:val="0"/>
        <w:numPr>
          <w:ilvl w:val="0"/>
          <w:numId w:val="9"/>
        </w:numPr>
        <w:tabs>
          <w:tab w:val="left" w:pos="207"/>
          <w:tab w:val="left" w:pos="432"/>
          <w:tab w:val="left" w:pos="900"/>
          <w:tab w:val="left" w:pos="12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</w:t>
      </w:r>
    </w:p>
    <w:p w:rsidR="00C11D6D" w:rsidRDefault="00C11D6D" w:rsidP="00C11D6D">
      <w:pPr>
        <w:pStyle w:val="a3"/>
        <w:widowControl w:val="0"/>
        <w:numPr>
          <w:ilvl w:val="0"/>
          <w:numId w:val="12"/>
        </w:numPr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Гарантийный срок – не менее _____________________________. </w:t>
      </w:r>
    </w:p>
    <w:p w:rsidR="00C11D6D" w:rsidRDefault="00C11D6D" w:rsidP="00C11D6D">
      <w:pPr>
        <w:widowControl w:val="0"/>
        <w:numPr>
          <w:ilvl w:val="0"/>
          <w:numId w:val="12"/>
        </w:numPr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ВСТУПЛЕНИЯ ДОГОВОРА В СИЛУ, ВНЕСЕНИЯ В НЕГО ИЗМЕНЕНИЙ И ДОПОЛНЕНИЙ</w:t>
      </w:r>
    </w:p>
    <w:p w:rsidR="00C11D6D" w:rsidRDefault="00C11D6D" w:rsidP="00C11D6D">
      <w:pPr>
        <w:widowControl w:val="0"/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8.1. Договор вступает в силу с момента его подписания и действует до момента выполнения сторонами всех обязательств по Договору.</w:t>
      </w:r>
    </w:p>
    <w:p w:rsidR="00C11D6D" w:rsidRDefault="00C11D6D" w:rsidP="00C11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8.2. По истечении срока действия настоящего Договора его условия остаются действительными до полного исполнения сторонами принятых на себя обязательств.</w:t>
      </w:r>
    </w:p>
    <w:p w:rsidR="00C11D6D" w:rsidRDefault="00C11D6D" w:rsidP="00C11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8.3. Условия настоящего Договора могут быть изменены только по взаимному согласию с обязательным составлением письменного документа.</w:t>
      </w:r>
    </w:p>
    <w:p w:rsidR="00C11D6D" w:rsidRDefault="00C11D6D" w:rsidP="00C11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8.4.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C11D6D" w:rsidRDefault="00C11D6D" w:rsidP="00C11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8.5. Настоящий Договор составлен в двух экземплярах - по одному для каждой из сторон.</w:t>
      </w:r>
    </w:p>
    <w:p w:rsidR="00C11D6D" w:rsidRDefault="00C11D6D" w:rsidP="00C11D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ЮРИДИЧЕСКИЕ АДРЕСА, БАНКОВСКИЕ РЕКВИЗИТЫ И ПОДПИСИ СТОРОН:</w:t>
      </w:r>
    </w:p>
    <w:p w:rsidR="00C11D6D" w:rsidRDefault="00C11D6D" w:rsidP="00C11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Покупатель</w:t>
      </w:r>
      <w:r>
        <w:rPr>
          <w:rFonts w:ascii="Times New Roman" w:hAnsi="Times New Roman" w:cs="Times New Roman"/>
          <w:b/>
          <w:szCs w:val="28"/>
        </w:rPr>
        <w:t xml:space="preserve">         </w:t>
      </w:r>
    </w:p>
    <w:p w:rsidR="00C11D6D" w:rsidRDefault="00C11D6D" w:rsidP="00C11D6D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Приложение 1</w:t>
      </w:r>
    </w:p>
    <w:p w:rsidR="00C11D6D" w:rsidRDefault="00C11D6D" w:rsidP="00C11D6D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>к Договору № ____________</w:t>
      </w:r>
    </w:p>
    <w:p w:rsidR="00C11D6D" w:rsidRDefault="00C11D6D" w:rsidP="00C11D6D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>от «___ » _________ 2020 года</w:t>
      </w:r>
    </w:p>
    <w:p w:rsidR="00C11D6D" w:rsidRDefault="00C11D6D" w:rsidP="00C11D6D">
      <w:pPr>
        <w:tabs>
          <w:tab w:val="left" w:pos="54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Спецификация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1888"/>
        <w:gridCol w:w="615"/>
        <w:gridCol w:w="739"/>
        <w:gridCol w:w="1220"/>
        <w:gridCol w:w="1230"/>
        <w:gridCol w:w="865"/>
        <w:gridCol w:w="1127"/>
        <w:gridCol w:w="1087"/>
      </w:tblGrid>
      <w:tr w:rsidR="00C11D6D" w:rsidTr="00C11D6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Товара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Ед-ца</w:t>
            </w:r>
            <w:proofErr w:type="spellEnd"/>
          </w:p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Отпускная цена</w:t>
            </w:r>
          </w:p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НДС, 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без НДС, руб.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НДС, %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НДС, руб.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 НДС, руб.</w:t>
            </w:r>
          </w:p>
        </w:tc>
      </w:tr>
      <w:tr w:rsidR="00C11D6D" w:rsidTr="00C11D6D">
        <w:trPr>
          <w:trHeight w:val="9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w w:val="105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w w:val="105"/>
              </w:rPr>
            </w:pPr>
          </w:p>
        </w:tc>
      </w:tr>
      <w:tr w:rsidR="00C11D6D" w:rsidTr="00C11D6D">
        <w:trPr>
          <w:trHeight w:val="333"/>
        </w:trPr>
        <w:tc>
          <w:tcPr>
            <w:tcW w:w="37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w w:val="105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D" w:rsidRDefault="00C11D6D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color w:val="000000"/>
                <w:spacing w:val="-2"/>
                <w:w w:val="105"/>
              </w:rPr>
            </w:pPr>
          </w:p>
        </w:tc>
      </w:tr>
    </w:tbl>
    <w:p w:rsidR="00C11D6D" w:rsidRDefault="00C11D6D" w:rsidP="00C11D6D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Итого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_________ (___________) </w:t>
      </w:r>
      <w:proofErr w:type="gramEnd"/>
      <w:r>
        <w:rPr>
          <w:rFonts w:ascii="Times New Roman" w:hAnsi="Times New Roman" w:cs="Times New Roman"/>
          <w:sz w:val="30"/>
          <w:szCs w:val="30"/>
        </w:rPr>
        <w:t>рублей, из них ставка НДС __% _________  (______) рублей.</w:t>
      </w:r>
    </w:p>
    <w:p w:rsidR="00C11D6D" w:rsidRDefault="00C11D6D" w:rsidP="00C11D6D">
      <w:pPr>
        <w:tabs>
          <w:tab w:val="left" w:pos="8865"/>
        </w:tabs>
        <w:ind w:right="-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ПОСТАВЩИК                                                           ПОКУПАТЕЛЬ</w:t>
      </w:r>
    </w:p>
    <w:p w:rsidR="00C11D6D" w:rsidRDefault="00C11D6D" w:rsidP="00C11D6D">
      <w:pPr>
        <w:tabs>
          <w:tab w:val="left" w:pos="6000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                                            ____________ </w:t>
      </w:r>
    </w:p>
    <w:p w:rsidR="00F63227" w:rsidRDefault="00F63227"/>
    <w:sectPr w:rsidR="00F63227" w:rsidSect="00F6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510E"/>
    <w:multiLevelType w:val="multilevel"/>
    <w:tmpl w:val="97E81CA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">
    <w:nsid w:val="101D6DA7"/>
    <w:multiLevelType w:val="multilevel"/>
    <w:tmpl w:val="1C58C3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2A04B16"/>
    <w:multiLevelType w:val="hybridMultilevel"/>
    <w:tmpl w:val="31282CF8"/>
    <w:lvl w:ilvl="0" w:tplc="A7DAF25C">
      <w:start w:val="1"/>
      <w:numFmt w:val="decimal"/>
      <w:lvlText w:val="6.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33A33"/>
    <w:multiLevelType w:val="multilevel"/>
    <w:tmpl w:val="C8DAE27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2BD66C7C"/>
    <w:multiLevelType w:val="multilevel"/>
    <w:tmpl w:val="3C88B440"/>
    <w:lvl w:ilvl="0">
      <w:start w:val="1"/>
      <w:numFmt w:val="decimal"/>
      <w:lvlText w:val="2.%1."/>
      <w:lvlJc w:val="left"/>
      <w:pPr>
        <w:tabs>
          <w:tab w:val="num" w:pos="90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F994E05"/>
    <w:multiLevelType w:val="multilevel"/>
    <w:tmpl w:val="AA6A3016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4AF616FA"/>
    <w:multiLevelType w:val="hybridMultilevel"/>
    <w:tmpl w:val="FAF2C172"/>
    <w:lvl w:ilvl="0" w:tplc="D7F461E8">
      <w:start w:val="1"/>
      <w:numFmt w:val="decimal"/>
      <w:lvlText w:val="5.%1.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592354F8"/>
    <w:multiLevelType w:val="multilevel"/>
    <w:tmpl w:val="DE5E688E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1.%2.%3"/>
      <w:lvlJc w:val="left"/>
      <w:pPr>
        <w:ind w:left="1620" w:hanging="720"/>
      </w:pPr>
    </w:lvl>
    <w:lvl w:ilvl="3">
      <w:start w:val="1"/>
      <w:numFmt w:val="decimal"/>
      <w:lvlText w:val="%1.%2.%3.%4"/>
      <w:lvlJc w:val="left"/>
      <w:pPr>
        <w:ind w:left="243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90" w:hanging="144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950" w:hanging="1800"/>
      </w:pPr>
    </w:lvl>
    <w:lvl w:ilvl="8">
      <w:start w:val="1"/>
      <w:numFmt w:val="decimal"/>
      <w:lvlText w:val="%1.%2.%3.%4.%5.%6.%7.%8.%9"/>
      <w:lvlJc w:val="left"/>
      <w:pPr>
        <w:ind w:left="5760" w:hanging="2160"/>
      </w:pPr>
    </w:lvl>
  </w:abstractNum>
  <w:abstractNum w:abstractNumId="8">
    <w:nsid w:val="7378131F"/>
    <w:multiLevelType w:val="multilevel"/>
    <w:tmpl w:val="82BC0AD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780B0E73"/>
    <w:multiLevelType w:val="multilevel"/>
    <w:tmpl w:val="23E6B05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>
    <w:nsid w:val="7CED7086"/>
    <w:multiLevelType w:val="multilevel"/>
    <w:tmpl w:val="A87E817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D6D"/>
    <w:rsid w:val="00724EB2"/>
    <w:rsid w:val="00B65513"/>
    <w:rsid w:val="00B97F35"/>
    <w:rsid w:val="00C11D6D"/>
    <w:rsid w:val="00DB5D67"/>
    <w:rsid w:val="00F6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6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C11D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D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11D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1D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y">
    <w:name w:val="my"/>
    <w:basedOn w:val="a"/>
    <w:rsid w:val="00C11D6D"/>
    <w:pPr>
      <w:widowControl w:val="0"/>
      <w:spacing w:after="60" w:line="240" w:lineRule="auto"/>
      <w:ind w:left="426" w:hanging="426"/>
      <w:jc w:val="both"/>
    </w:pPr>
    <w:rPr>
      <w:rFonts w:ascii="TimesET" w:eastAsia="Times New Roman" w:hAnsi="TimesET" w:cs="TimesET"/>
      <w:lang w:eastAsia="ru-RU"/>
    </w:rPr>
  </w:style>
  <w:style w:type="paragraph" w:customStyle="1" w:styleId="3">
    <w:name w:val="Основной+3 ст"/>
    <w:basedOn w:val="a"/>
    <w:next w:val="a"/>
    <w:rsid w:val="00C11D6D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customStyle="1" w:styleId="h-consnonformat">
    <w:name w:val="h-consnonformat"/>
    <w:basedOn w:val="a0"/>
    <w:rsid w:val="00C11D6D"/>
  </w:style>
  <w:style w:type="character" w:customStyle="1" w:styleId="h-normal">
    <w:name w:val="h-normal"/>
    <w:basedOn w:val="a0"/>
    <w:rsid w:val="00C11D6D"/>
  </w:style>
  <w:style w:type="character" w:styleId="a4">
    <w:name w:val="Hyperlink"/>
    <w:basedOn w:val="a0"/>
    <w:uiPriority w:val="99"/>
    <w:semiHidden/>
    <w:unhideWhenUsed/>
    <w:rsid w:val="00C11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C7DB7C02929A7800E36A54F4D62D34D63AC3616316E89C995894D37E9333BCB895FC1BDBBB9A74150B819F83o9J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Трубчик</dc:creator>
  <cp:lastModifiedBy>Трубчик</cp:lastModifiedBy>
  <cp:revision>1</cp:revision>
  <dcterms:created xsi:type="dcterms:W3CDTF">2020-03-20T12:47:00Z</dcterms:created>
  <dcterms:modified xsi:type="dcterms:W3CDTF">2020-03-20T12:47:00Z</dcterms:modified>
</cp:coreProperties>
</file>