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BF" w:rsidRPr="00627DB0" w:rsidRDefault="009405BF" w:rsidP="009405BF">
      <w:pPr>
        <w:pStyle w:val="ConsPlusNormal"/>
        <w:ind w:left="4248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7DB0">
        <w:rPr>
          <w:rFonts w:ascii="Times New Roman" w:hAnsi="Times New Roman" w:cs="Times New Roman"/>
          <w:sz w:val="24"/>
          <w:szCs w:val="24"/>
        </w:rPr>
        <w:t>УТВЕРЖДЕНО:</w:t>
      </w:r>
    </w:p>
    <w:p w:rsidR="009405BF" w:rsidRPr="00627DB0" w:rsidRDefault="009405BF" w:rsidP="009405BF">
      <w:pPr>
        <w:pStyle w:val="ConsPlusNormal"/>
        <w:ind w:left="4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DB0">
        <w:rPr>
          <w:rFonts w:ascii="Times New Roman" w:hAnsi="Times New Roman" w:cs="Times New Roman"/>
          <w:sz w:val="24"/>
          <w:szCs w:val="24"/>
        </w:rPr>
        <w:t>Государственное научное учреждение</w:t>
      </w:r>
    </w:p>
    <w:p w:rsidR="009405BF" w:rsidRPr="00DD6710" w:rsidRDefault="009405BF" w:rsidP="009405BF">
      <w:pPr>
        <w:pStyle w:val="ConsPlusNormal"/>
        <w:ind w:left="424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7DB0">
        <w:rPr>
          <w:rFonts w:ascii="Times New Roman" w:hAnsi="Times New Roman" w:cs="Times New Roman"/>
          <w:sz w:val="24"/>
          <w:szCs w:val="24"/>
        </w:rPr>
        <w:t>Институт физики им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627DB0">
        <w:rPr>
          <w:rFonts w:ascii="Times New Roman" w:hAnsi="Times New Roman" w:cs="Times New Roman"/>
          <w:sz w:val="24"/>
          <w:szCs w:val="24"/>
        </w:rPr>
        <w:t xml:space="preserve"> Б.И.Степанова</w:t>
      </w:r>
    </w:p>
    <w:p w:rsidR="009405BF" w:rsidRPr="00627DB0" w:rsidRDefault="009405BF" w:rsidP="009405BF">
      <w:pPr>
        <w:pStyle w:val="ConsPlusNormal"/>
        <w:ind w:left="4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DB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ациональной академии наук </w:t>
      </w:r>
      <w:r w:rsidRPr="00627DB0">
        <w:rPr>
          <w:rFonts w:ascii="Times New Roman" w:hAnsi="Times New Roman" w:cs="Times New Roman"/>
          <w:sz w:val="24"/>
          <w:szCs w:val="24"/>
        </w:rPr>
        <w:t>Беларуси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405BF" w:rsidRPr="00DD6710" w:rsidRDefault="009405BF" w:rsidP="009405BF">
      <w:pPr>
        <w:pStyle w:val="ConsPlusNormal"/>
        <w:ind w:left="424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5BF" w:rsidRPr="00627DB0" w:rsidRDefault="008E780E" w:rsidP="009405BF">
      <w:pPr>
        <w:pStyle w:val="ConsPlusNormal"/>
        <w:ind w:left="424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 д</w:t>
      </w:r>
      <w:r w:rsidR="009405BF" w:rsidRPr="00627DB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405BF" w:rsidRPr="00DD6710" w:rsidRDefault="009405BF" w:rsidP="009405BF">
      <w:pPr>
        <w:pStyle w:val="ConsPlusNormal"/>
        <w:ind w:left="424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5BF" w:rsidRPr="00DD6710" w:rsidRDefault="009405BF" w:rsidP="009405BF">
      <w:pPr>
        <w:pStyle w:val="ConsPlusNormal"/>
        <w:ind w:left="4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710">
        <w:rPr>
          <w:rFonts w:ascii="Times New Roman" w:hAnsi="Times New Roman" w:cs="Times New Roman"/>
          <w:sz w:val="24"/>
          <w:szCs w:val="24"/>
        </w:rPr>
        <w:t>_____________________</w:t>
      </w:r>
      <w:r w:rsidR="008E780E">
        <w:rPr>
          <w:rFonts w:ascii="Times New Roman" w:hAnsi="Times New Roman" w:cs="Times New Roman"/>
          <w:sz w:val="24"/>
          <w:szCs w:val="24"/>
        </w:rPr>
        <w:t>Н.С. Казак</w:t>
      </w:r>
    </w:p>
    <w:p w:rsidR="009405BF" w:rsidRPr="00DD6710" w:rsidRDefault="009405BF" w:rsidP="009405BF">
      <w:pPr>
        <w:pStyle w:val="ConsPlusNormal"/>
        <w:ind w:left="424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5BF" w:rsidRPr="00DD6710" w:rsidRDefault="009405BF" w:rsidP="009405BF">
      <w:pPr>
        <w:pStyle w:val="ConsPlusNormal"/>
        <w:ind w:left="4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DB0">
        <w:rPr>
          <w:rFonts w:ascii="Times New Roman" w:hAnsi="Times New Roman" w:cs="Times New Roman"/>
          <w:sz w:val="24"/>
          <w:szCs w:val="24"/>
        </w:rPr>
        <w:t>"___</w:t>
      </w:r>
      <w:r w:rsidRPr="00DD6710">
        <w:rPr>
          <w:rFonts w:ascii="Times New Roman" w:hAnsi="Times New Roman" w:cs="Times New Roman"/>
          <w:sz w:val="24"/>
          <w:szCs w:val="24"/>
        </w:rPr>
        <w:t>__</w:t>
      </w:r>
      <w:r w:rsidRPr="00627DB0">
        <w:rPr>
          <w:rFonts w:ascii="Times New Roman" w:hAnsi="Times New Roman" w:cs="Times New Roman"/>
          <w:sz w:val="24"/>
          <w:szCs w:val="24"/>
        </w:rPr>
        <w:t xml:space="preserve">" </w:t>
      </w:r>
      <w:r w:rsidRPr="00DD6710">
        <w:rPr>
          <w:rFonts w:ascii="Times New Roman" w:hAnsi="Times New Roman" w:cs="Times New Roman"/>
          <w:sz w:val="24"/>
          <w:szCs w:val="24"/>
        </w:rPr>
        <w:t>_____________</w:t>
      </w:r>
      <w:r w:rsidRPr="00627DB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7511C">
        <w:rPr>
          <w:rFonts w:ascii="Times New Roman" w:hAnsi="Times New Roman" w:cs="Times New Roman"/>
          <w:sz w:val="24"/>
          <w:szCs w:val="24"/>
        </w:rPr>
        <w:t>6</w:t>
      </w:r>
      <w:r w:rsidRPr="00627D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33C7" w:rsidRPr="00C03DC4" w:rsidRDefault="001C33C7" w:rsidP="001C33C7">
      <w:pPr>
        <w:jc w:val="right"/>
        <w:rPr>
          <w:szCs w:val="30"/>
        </w:rPr>
      </w:pPr>
    </w:p>
    <w:p w:rsidR="001C33C7" w:rsidRPr="00C03DC4" w:rsidRDefault="001C33C7" w:rsidP="001C33C7">
      <w:pPr>
        <w:rPr>
          <w:szCs w:val="30"/>
        </w:rPr>
      </w:pPr>
    </w:p>
    <w:p w:rsidR="001C33C7" w:rsidRPr="00670E81" w:rsidRDefault="001C33C7" w:rsidP="001C33C7">
      <w:pPr>
        <w:jc w:val="center"/>
      </w:pPr>
      <w:r w:rsidRPr="00670E81">
        <w:t>АУКЦИОННЫЕ ДОКУМЕНТЫ</w:t>
      </w:r>
    </w:p>
    <w:p w:rsidR="00670E81" w:rsidRPr="00E91EA2" w:rsidRDefault="00670E81" w:rsidP="001C33C7">
      <w:pPr>
        <w:jc w:val="center"/>
        <w:rPr>
          <w:szCs w:val="30"/>
          <w:u w:val="single"/>
        </w:rPr>
      </w:pPr>
      <w:r w:rsidRPr="008442B4">
        <w:rPr>
          <w:szCs w:val="30"/>
          <w:u w:val="single"/>
        </w:rPr>
        <w:t>Г</w:t>
      </w:r>
      <w:r>
        <w:rPr>
          <w:szCs w:val="30"/>
          <w:u w:val="single"/>
        </w:rPr>
        <w:t xml:space="preserve">осударственное научное учреждение </w:t>
      </w:r>
      <w:r w:rsidRPr="008442B4">
        <w:rPr>
          <w:szCs w:val="30"/>
          <w:u w:val="single"/>
        </w:rPr>
        <w:t>«Институт физики им</w:t>
      </w:r>
      <w:r>
        <w:rPr>
          <w:szCs w:val="30"/>
          <w:u w:val="single"/>
        </w:rPr>
        <w:t>ени</w:t>
      </w:r>
      <w:r w:rsidRPr="008442B4">
        <w:rPr>
          <w:szCs w:val="30"/>
          <w:u w:val="single"/>
        </w:rPr>
        <w:t xml:space="preserve"> Б.И.Степанова Национальной академии наук Беларуси»</w:t>
      </w:r>
    </w:p>
    <w:p w:rsidR="001C33C7" w:rsidRPr="00C03DC4" w:rsidRDefault="008442B4" w:rsidP="001C33C7">
      <w:pPr>
        <w:jc w:val="center"/>
        <w:rPr>
          <w:sz w:val="20"/>
          <w:szCs w:val="20"/>
        </w:rPr>
      </w:pPr>
      <w:r>
        <w:rPr>
          <w:szCs w:val="30"/>
        </w:rPr>
        <w:t xml:space="preserve"> </w:t>
      </w:r>
      <w:r w:rsidR="001C33C7" w:rsidRPr="00C03DC4">
        <w:rPr>
          <w:sz w:val="20"/>
          <w:szCs w:val="20"/>
        </w:rPr>
        <w:t>наименование заказчика (организатора)</w:t>
      </w:r>
    </w:p>
    <w:p w:rsidR="001C33C7" w:rsidRPr="00C03DC4" w:rsidRDefault="001C33C7" w:rsidP="001C33C7">
      <w:pPr>
        <w:jc w:val="center"/>
        <w:rPr>
          <w:szCs w:val="30"/>
        </w:rPr>
      </w:pPr>
    </w:p>
    <w:p w:rsidR="001C33C7" w:rsidRPr="00670E81" w:rsidRDefault="001C33C7" w:rsidP="001C3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E81">
        <w:rPr>
          <w:rFonts w:ascii="Times New Roman" w:hAnsi="Times New Roman" w:cs="Times New Roman"/>
          <w:sz w:val="24"/>
          <w:szCs w:val="24"/>
        </w:rPr>
        <w:t>к электронному аукциону № ________________________________________________</w:t>
      </w:r>
      <w:r w:rsidR="009D158B">
        <w:rPr>
          <w:rFonts w:ascii="Times New Roman" w:hAnsi="Times New Roman" w:cs="Times New Roman"/>
          <w:sz w:val="24"/>
          <w:szCs w:val="24"/>
        </w:rPr>
        <w:t>_____</w:t>
      </w:r>
    </w:p>
    <w:p w:rsidR="001C33C7" w:rsidRPr="00670E81" w:rsidRDefault="001C33C7" w:rsidP="009D158B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0214EE">
        <w:rPr>
          <w:rFonts w:ascii="Times New Roman" w:hAnsi="Times New Roman" w:cs="Times New Roman"/>
          <w:szCs w:val="24"/>
        </w:rPr>
        <w:t>(указывается регистрационный номер электронного аукциона)</w:t>
      </w:r>
    </w:p>
    <w:p w:rsidR="001C33C7" w:rsidRPr="00BE73D4" w:rsidRDefault="001C33C7" w:rsidP="001C3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E81">
        <w:rPr>
          <w:rFonts w:ascii="Times New Roman" w:hAnsi="Times New Roman" w:cs="Times New Roman"/>
          <w:sz w:val="24"/>
          <w:szCs w:val="24"/>
        </w:rPr>
        <w:t xml:space="preserve">на закупку </w:t>
      </w:r>
      <w:r w:rsidR="00C7511C">
        <w:rPr>
          <w:rFonts w:ascii="Times New Roman" w:hAnsi="Times New Roman" w:cs="Times New Roman"/>
          <w:sz w:val="24"/>
          <w:szCs w:val="24"/>
        </w:rPr>
        <w:t>__</w:t>
      </w:r>
      <w:r w:rsidR="00846B86">
        <w:rPr>
          <w:rFonts w:ascii="Times New Roman" w:hAnsi="Times New Roman" w:cs="Times New Roman"/>
          <w:sz w:val="24"/>
          <w:szCs w:val="24"/>
          <w:u w:val="single"/>
        </w:rPr>
        <w:t>Виброизоляционной установки и другого оборудования</w:t>
      </w:r>
      <w:r w:rsidR="00C7511C" w:rsidRPr="00C7511C">
        <w:rPr>
          <w:rFonts w:ascii="Times New Roman" w:hAnsi="Times New Roman" w:cs="Times New Roman"/>
          <w:sz w:val="24"/>
          <w:szCs w:val="24"/>
        </w:rPr>
        <w:t>_</w:t>
      </w:r>
      <w:r w:rsidR="00846B86">
        <w:rPr>
          <w:rFonts w:ascii="Times New Roman" w:hAnsi="Times New Roman" w:cs="Times New Roman"/>
          <w:sz w:val="24"/>
          <w:szCs w:val="24"/>
        </w:rPr>
        <w:t>_________________</w:t>
      </w:r>
    </w:p>
    <w:p w:rsidR="001C33C7" w:rsidRPr="00C03DC4" w:rsidRDefault="001C33C7" w:rsidP="001C33C7">
      <w:pPr>
        <w:pStyle w:val="ConsPlusNonformat"/>
        <w:ind w:left="1418"/>
        <w:jc w:val="center"/>
        <w:rPr>
          <w:rFonts w:ascii="Times New Roman" w:hAnsi="Times New Roman" w:cs="Times New Roman"/>
        </w:rPr>
      </w:pPr>
      <w:r w:rsidRPr="00C03DC4">
        <w:rPr>
          <w:rFonts w:ascii="Times New Roman" w:hAnsi="Times New Roman" w:cs="Times New Roman"/>
        </w:rPr>
        <w:t>(указывается краткое наименование предмета государственной закупки)</w:t>
      </w:r>
    </w:p>
    <w:p w:rsidR="001C33C7" w:rsidRPr="00C03DC4" w:rsidRDefault="001C33C7" w:rsidP="001C33C7">
      <w:pPr>
        <w:autoSpaceDE w:val="0"/>
        <w:autoSpaceDN w:val="0"/>
        <w:adjustRightInd w:val="0"/>
        <w:ind w:firstLine="540"/>
      </w:pPr>
    </w:p>
    <w:p w:rsidR="001C33C7" w:rsidRPr="00670E81" w:rsidRDefault="001C33C7" w:rsidP="001C33C7">
      <w:pPr>
        <w:autoSpaceDE w:val="0"/>
        <w:autoSpaceDN w:val="0"/>
        <w:adjustRightInd w:val="0"/>
        <w:ind w:firstLine="709"/>
        <w:jc w:val="both"/>
      </w:pPr>
      <w:r w:rsidRPr="00670E81">
        <w:t>Закупка осуществляется в соответствии с годовым планом государственных закупок, размещенном на официальном сайте.</w:t>
      </w:r>
    </w:p>
    <w:p w:rsidR="001C33C7" w:rsidRPr="00670E81" w:rsidRDefault="001C33C7" w:rsidP="001C33C7">
      <w:pPr>
        <w:autoSpaceDE w:val="0"/>
        <w:autoSpaceDN w:val="0"/>
        <w:adjustRightInd w:val="0"/>
        <w:spacing w:before="100" w:beforeAutospacing="1" w:after="100" w:afterAutospacing="1"/>
        <w:ind w:left="709"/>
        <w:rPr>
          <w:b/>
          <w:lang w:val="en-US"/>
        </w:rPr>
      </w:pPr>
      <w:r w:rsidRPr="00670E81">
        <w:rPr>
          <w:b/>
          <w:lang w:val="en-US"/>
        </w:rPr>
        <w:t>I</w:t>
      </w:r>
      <w:r w:rsidRPr="00670E81">
        <w:rPr>
          <w:b/>
        </w:rPr>
        <w:t>. Сведения из приглашения</w:t>
      </w:r>
    </w:p>
    <w:tbl>
      <w:tblPr>
        <w:tblW w:w="937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82"/>
      </w:tblGrid>
      <w:tr w:rsidR="00022344" w:rsidRPr="00FE12B6" w:rsidTr="0002234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4" w:rsidRPr="00022344" w:rsidRDefault="00022344" w:rsidP="00D36E09">
            <w:pPr>
              <w:rPr>
                <w:bCs/>
                <w:szCs w:val="30"/>
              </w:rPr>
            </w:pPr>
            <w:r w:rsidRPr="00022344">
              <w:rPr>
                <w:bCs/>
                <w:szCs w:val="30"/>
              </w:rPr>
              <w:t>Вид процедуры закупки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4" w:rsidRPr="00022344" w:rsidRDefault="00022344" w:rsidP="00D36E09">
            <w:pPr>
              <w:rPr>
                <w:szCs w:val="30"/>
              </w:rPr>
            </w:pPr>
            <w:r w:rsidRPr="00022344">
              <w:rPr>
                <w:szCs w:val="30"/>
              </w:rPr>
              <w:t>Электронный аукцион</w:t>
            </w:r>
          </w:p>
        </w:tc>
      </w:tr>
      <w:tr w:rsidR="00022344" w:rsidRPr="00FE12B6" w:rsidTr="0002234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4" w:rsidRPr="00022344" w:rsidRDefault="00022344" w:rsidP="00022344">
            <w:pPr>
              <w:rPr>
                <w:bCs/>
                <w:szCs w:val="30"/>
              </w:rPr>
            </w:pPr>
            <w:r w:rsidRPr="00022344">
              <w:rPr>
                <w:bCs/>
                <w:szCs w:val="30"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4" w:rsidRPr="00022344" w:rsidRDefault="00022344" w:rsidP="00D36E09">
            <w:pPr>
              <w:rPr>
                <w:szCs w:val="30"/>
              </w:rPr>
            </w:pPr>
            <w:r w:rsidRPr="00022344">
              <w:rPr>
                <w:szCs w:val="30"/>
              </w:rPr>
              <w:t>www.zakupki.butb.by</w:t>
            </w:r>
          </w:p>
        </w:tc>
      </w:tr>
      <w:tr w:rsidR="00022344" w:rsidRPr="00FE12B6" w:rsidTr="00022344">
        <w:trPr>
          <w:trHeight w:val="255"/>
        </w:trPr>
        <w:tc>
          <w:tcPr>
            <w:tcW w:w="9375" w:type="dxa"/>
            <w:gridSpan w:val="2"/>
          </w:tcPr>
          <w:p w:rsidR="00022344" w:rsidRPr="00FE12B6" w:rsidRDefault="00022344" w:rsidP="00D36E09">
            <w:pPr>
              <w:jc w:val="center"/>
              <w:rPr>
                <w:b/>
                <w:bCs/>
              </w:rPr>
            </w:pPr>
            <w:r w:rsidRPr="00FE12B6">
              <w:rPr>
                <w:b/>
                <w:bCs/>
              </w:rPr>
              <w:t>Сведения об операторе электронной торговой площадки</w:t>
            </w:r>
          </w:p>
        </w:tc>
      </w:tr>
      <w:tr w:rsidR="00022344" w:rsidRPr="00FE12B6" w:rsidTr="00022344">
        <w:trPr>
          <w:trHeight w:val="255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Полное наименование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Открытое акционерное общество "Белорусская универсальная товарная биржа"</w:t>
            </w:r>
          </w:p>
        </w:tc>
      </w:tr>
      <w:tr w:rsidR="00022344" w:rsidRPr="00FE12B6" w:rsidTr="00022344">
        <w:trPr>
          <w:trHeight w:val="221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Место нахождения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220099 г.Минск, ул.Казинца, 2, 200</w:t>
            </w:r>
          </w:p>
        </w:tc>
      </w:tr>
      <w:tr w:rsidR="00022344" w:rsidRPr="00FE12B6" w:rsidTr="00022344">
        <w:trPr>
          <w:trHeight w:val="221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 xml:space="preserve">УНП 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190542056</w:t>
            </w:r>
          </w:p>
        </w:tc>
      </w:tr>
      <w:tr w:rsidR="00022344" w:rsidRPr="00FE12B6" w:rsidTr="00022344">
        <w:trPr>
          <w:trHeight w:val="255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Адрес электронной почты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zakupki@butb.by</w:t>
            </w:r>
          </w:p>
        </w:tc>
      </w:tr>
      <w:tr w:rsidR="00022344" w:rsidRPr="00FE12B6" w:rsidTr="00022344">
        <w:trPr>
          <w:trHeight w:val="510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Адрес сайта в глобальной компьютерной сети Интернет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www.butb.by</w:t>
            </w:r>
          </w:p>
        </w:tc>
      </w:tr>
      <w:tr w:rsidR="00022344" w:rsidRPr="00FE12B6" w:rsidTr="00022344">
        <w:trPr>
          <w:trHeight w:val="255"/>
        </w:trPr>
        <w:tc>
          <w:tcPr>
            <w:tcW w:w="9375" w:type="dxa"/>
            <w:gridSpan w:val="2"/>
          </w:tcPr>
          <w:p w:rsidR="00022344" w:rsidRPr="00FE12B6" w:rsidRDefault="00022344" w:rsidP="00D36E09">
            <w:pPr>
              <w:jc w:val="center"/>
              <w:rPr>
                <w:b/>
                <w:bCs/>
              </w:rPr>
            </w:pPr>
            <w:r w:rsidRPr="00FE12B6">
              <w:rPr>
                <w:b/>
                <w:bCs/>
              </w:rPr>
              <w:t xml:space="preserve">Сведения о заказчике </w:t>
            </w:r>
          </w:p>
        </w:tc>
      </w:tr>
      <w:tr w:rsidR="00022344" w:rsidRPr="00FE12B6" w:rsidTr="00022344">
        <w:trPr>
          <w:trHeight w:val="510"/>
        </w:trPr>
        <w:tc>
          <w:tcPr>
            <w:tcW w:w="4693" w:type="dxa"/>
          </w:tcPr>
          <w:p w:rsidR="00022344" w:rsidRPr="00FE12B6" w:rsidRDefault="00022344" w:rsidP="00D36E09">
            <w:pPr>
              <w:jc w:val="both"/>
              <w:rPr>
                <w:bCs/>
              </w:rPr>
            </w:pPr>
            <w:r w:rsidRPr="00FE12B6">
              <w:rPr>
                <w:bCs/>
              </w:rPr>
              <w:t xml:space="preserve">Полное наименование </w:t>
            </w:r>
            <w:r w:rsidRPr="00FE12B6">
              <w:t>(для юридического лица)</w:t>
            </w:r>
            <w:r w:rsidRPr="00FE12B6">
              <w:rPr>
                <w:bCs/>
              </w:rPr>
              <w:t xml:space="preserve"> либо фамилия, собственное имя, отчество (при наличии) </w:t>
            </w:r>
            <w:r w:rsidRPr="00FE12B6">
              <w:t>(для физического лица, в том числе индивидуального предпринимателя)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ind w:firstLine="32"/>
              <w:rPr>
                <w:bCs/>
              </w:rPr>
            </w:pPr>
            <w:r w:rsidRPr="00FE12B6">
              <w:rPr>
                <w:bCs/>
              </w:rPr>
              <w:t>Государственное научное учреждение "Институт физики имени Б.И.Степанова Национальной академии наук Беларуси"</w:t>
            </w:r>
          </w:p>
        </w:tc>
      </w:tr>
      <w:tr w:rsidR="00022344" w:rsidRPr="00FE12B6" w:rsidTr="00022344">
        <w:trPr>
          <w:trHeight w:val="510"/>
        </w:trPr>
        <w:tc>
          <w:tcPr>
            <w:tcW w:w="4693" w:type="dxa"/>
          </w:tcPr>
          <w:p w:rsidR="00022344" w:rsidRPr="00FE12B6" w:rsidRDefault="00022344" w:rsidP="00D36E09">
            <w:pPr>
              <w:jc w:val="both"/>
              <w:rPr>
                <w:bCs/>
              </w:rPr>
            </w:pPr>
            <w:r w:rsidRPr="00FE12B6">
              <w:rPr>
                <w:bCs/>
              </w:rPr>
              <w:t xml:space="preserve">Место нахождения </w:t>
            </w:r>
            <w:r w:rsidRPr="00FE12B6">
              <w:t>(для юридического лица)</w:t>
            </w:r>
            <w:r w:rsidRPr="00FE12B6">
              <w:rPr>
                <w:bCs/>
              </w:rPr>
              <w:t xml:space="preserve"> либо место жительства </w:t>
            </w:r>
            <w:r w:rsidRPr="00FE12B6">
              <w:t>(для физического лица, в том числе индивидуального предпринимателя</w:t>
            </w:r>
            <w:r w:rsidRPr="00FE12B6">
              <w:rPr>
                <w:bCs/>
              </w:rPr>
              <w:t>)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пр. Независимости, 68, Минск, 220072, Республика Беларусь</w:t>
            </w:r>
          </w:p>
        </w:tc>
      </w:tr>
      <w:tr w:rsidR="00022344" w:rsidRPr="00FE12B6" w:rsidTr="00022344">
        <w:trPr>
          <w:trHeight w:val="282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УНП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ind w:firstLine="32"/>
              <w:rPr>
                <w:bCs/>
              </w:rPr>
            </w:pPr>
            <w:r w:rsidRPr="00FE12B6">
              <w:rPr>
                <w:bCs/>
              </w:rPr>
              <w:t>100217336</w:t>
            </w:r>
          </w:p>
        </w:tc>
      </w:tr>
      <w:tr w:rsidR="00022344" w:rsidRPr="00FE12B6" w:rsidTr="00022344">
        <w:trPr>
          <w:trHeight w:val="255"/>
        </w:trPr>
        <w:tc>
          <w:tcPr>
            <w:tcW w:w="4693" w:type="dxa"/>
          </w:tcPr>
          <w:p w:rsidR="00022344" w:rsidRPr="00670E81" w:rsidRDefault="00022344" w:rsidP="00D36E09">
            <w:pPr>
              <w:rPr>
                <w:bCs/>
              </w:rPr>
            </w:pPr>
            <w:r w:rsidRPr="00670E81">
              <w:rPr>
                <w:bCs/>
              </w:rPr>
              <w:t>Адрес электронной почты</w:t>
            </w:r>
          </w:p>
        </w:tc>
        <w:tc>
          <w:tcPr>
            <w:tcW w:w="4682" w:type="dxa"/>
          </w:tcPr>
          <w:p w:rsidR="00022344" w:rsidRPr="00670E81" w:rsidRDefault="007929FB" w:rsidP="00D36E09">
            <w:pPr>
              <w:ind w:firstLine="720"/>
              <w:rPr>
                <w:bCs/>
              </w:rPr>
            </w:pPr>
            <w:r>
              <w:rPr>
                <w:bCs/>
              </w:rPr>
              <w:t>optdep@ifanbel.bas-net.by</w:t>
            </w:r>
          </w:p>
        </w:tc>
      </w:tr>
      <w:tr w:rsidR="00022344" w:rsidRPr="00FE12B6" w:rsidTr="00022344">
        <w:trPr>
          <w:trHeight w:val="510"/>
        </w:trPr>
        <w:tc>
          <w:tcPr>
            <w:tcW w:w="4693" w:type="dxa"/>
          </w:tcPr>
          <w:p w:rsidR="00022344" w:rsidRPr="00670E81" w:rsidRDefault="00022344" w:rsidP="00D36E09">
            <w:pPr>
              <w:jc w:val="both"/>
              <w:rPr>
                <w:bCs/>
              </w:rPr>
            </w:pPr>
            <w:r w:rsidRPr="00670E81">
              <w:rPr>
                <w:bCs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4682" w:type="dxa"/>
          </w:tcPr>
          <w:p w:rsidR="00022344" w:rsidRPr="00670E81" w:rsidRDefault="00022344" w:rsidP="00D36E09">
            <w:pPr>
              <w:ind w:firstLine="720"/>
              <w:rPr>
                <w:bCs/>
              </w:rPr>
            </w:pPr>
            <w:r w:rsidRPr="00670E81">
              <w:rPr>
                <w:bCs/>
              </w:rPr>
              <w:t>ifanbel.bas-net.by</w:t>
            </w:r>
          </w:p>
        </w:tc>
      </w:tr>
      <w:tr w:rsidR="00022344" w:rsidTr="0061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jc w:val="center"/>
              <w:rPr>
                <w:b/>
                <w:bCs/>
              </w:rPr>
            </w:pPr>
            <w:r w:rsidRPr="00670E81">
              <w:rPr>
                <w:b/>
                <w:bCs/>
              </w:rPr>
              <w:t>Сведения о контактных лицах</w:t>
            </w:r>
          </w:p>
        </w:tc>
      </w:tr>
      <w:tr w:rsidR="005572B7" w:rsidTr="0061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B7" w:rsidRPr="00670E81" w:rsidRDefault="005572B7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lastRenderedPageBreak/>
              <w:t>Фамилия, имя, отчество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B7" w:rsidRPr="00670E81" w:rsidRDefault="00C7511C" w:rsidP="006B4D86">
            <w:r>
              <w:t>Рябцев Геннадий Иванович</w:t>
            </w:r>
          </w:p>
        </w:tc>
      </w:tr>
      <w:tr w:rsidR="005572B7" w:rsidTr="0061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572B7" w:rsidRPr="00670E81" w:rsidRDefault="005572B7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телефон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572B7" w:rsidRPr="00670E81" w:rsidRDefault="005572B7" w:rsidP="00747012">
            <w:r w:rsidRPr="00670E81">
              <w:t xml:space="preserve">(+375 17) </w:t>
            </w:r>
            <w:r w:rsidR="00747012">
              <w:t>2842598</w:t>
            </w:r>
          </w:p>
        </w:tc>
      </w:tr>
      <w:tr w:rsidR="005572B7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572B7" w:rsidRPr="00670E81" w:rsidRDefault="005572B7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факс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572B7" w:rsidRPr="00670E81" w:rsidRDefault="005572B7" w:rsidP="006B4D86">
            <w:r w:rsidRPr="00670E81">
              <w:t xml:space="preserve">(+375 17) </w:t>
            </w:r>
            <w:r w:rsidR="00C7511C" w:rsidRPr="00C7511C">
              <w:t>2840398</w:t>
            </w:r>
          </w:p>
        </w:tc>
      </w:tr>
      <w:tr w:rsidR="005572B7" w:rsidRP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572B7" w:rsidRPr="00670E81" w:rsidRDefault="005572B7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адрес электронной почты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7511C" w:rsidRPr="00747012" w:rsidRDefault="00A475D9" w:rsidP="00C7511C">
            <w:hyperlink r:id="rId7" w:history="1">
              <w:r w:rsidR="00C7511C" w:rsidRPr="00466EDF">
                <w:rPr>
                  <w:rStyle w:val="a6"/>
                </w:rPr>
                <w:t>if445r3@aim.com</w:t>
              </w:r>
            </w:hyperlink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иные сведения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r w:rsidRPr="00670E81">
              <w:t> </w:t>
            </w:r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jc w:val="center"/>
              <w:rPr>
                <w:b/>
                <w:bCs/>
              </w:rPr>
            </w:pPr>
            <w:r w:rsidRPr="00670E81">
              <w:rPr>
                <w:b/>
                <w:bCs/>
              </w:rPr>
              <w:t>Сведения о контактных лицах</w:t>
            </w:r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>Фамилия, имя, отчество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r w:rsidRPr="00670E81">
              <w:t>Шалдина Татьяна Пантелеевна</w:t>
            </w:r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телефон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r w:rsidRPr="00670E81">
              <w:t>(+375 17) 284 04 26</w:t>
            </w:r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факс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r w:rsidRPr="00670E81">
              <w:t>(+375 17) 284 17 44</w:t>
            </w:r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адрес электронной почты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A475D9" w:rsidP="00D36E09">
            <w:pPr>
              <w:rPr>
                <w:color w:val="0000FF"/>
                <w:u w:val="single"/>
              </w:rPr>
            </w:pPr>
            <w:hyperlink r:id="rId8" w:history="1">
              <w:r w:rsidR="00022344" w:rsidRPr="00670E81">
                <w:rPr>
                  <w:rStyle w:val="a6"/>
                </w:rPr>
                <w:t>t.shaldina@ifanbel.bas-net.by</w:t>
              </w:r>
            </w:hyperlink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иные сведения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r w:rsidRPr="00670E81">
              <w:t> </w:t>
            </w:r>
          </w:p>
        </w:tc>
      </w:tr>
      <w:tr w:rsidR="001C33C7" w:rsidRPr="00C03DC4" w:rsidTr="00022344">
        <w:trPr>
          <w:trHeight w:val="285"/>
        </w:trPr>
        <w:tc>
          <w:tcPr>
            <w:tcW w:w="9375" w:type="dxa"/>
            <w:gridSpan w:val="2"/>
            <w:hideMark/>
          </w:tcPr>
          <w:p w:rsidR="001C33C7" w:rsidRPr="00670E81" w:rsidRDefault="001C33C7" w:rsidP="004A535E">
            <w:pPr>
              <w:jc w:val="center"/>
              <w:rPr>
                <w:b/>
                <w:bCs/>
              </w:rPr>
            </w:pPr>
            <w:r w:rsidRPr="00670E81">
              <w:rPr>
                <w:b/>
                <w:bCs/>
              </w:rPr>
              <w:t>Сведения об электронном аукционе</w:t>
            </w:r>
          </w:p>
        </w:tc>
      </w:tr>
      <w:tr w:rsidR="001C33C7" w:rsidRPr="00C03DC4" w:rsidTr="00022344">
        <w:trPr>
          <w:trHeight w:val="510"/>
        </w:trPr>
        <w:tc>
          <w:tcPr>
            <w:tcW w:w="4693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Регистрационный номер приглашения на официальном сайте</w:t>
            </w:r>
          </w:p>
        </w:tc>
        <w:tc>
          <w:tcPr>
            <w:tcW w:w="4682" w:type="dxa"/>
          </w:tcPr>
          <w:p w:rsidR="001C33C7" w:rsidRPr="00C03DC4" w:rsidRDefault="001C33C7" w:rsidP="002550F5">
            <w:pPr>
              <w:rPr>
                <w:bCs/>
                <w:szCs w:val="30"/>
              </w:rPr>
            </w:pPr>
          </w:p>
        </w:tc>
      </w:tr>
      <w:tr w:rsidR="001C33C7" w:rsidRPr="00C03DC4" w:rsidTr="00022344">
        <w:trPr>
          <w:trHeight w:val="280"/>
        </w:trPr>
        <w:tc>
          <w:tcPr>
            <w:tcW w:w="4693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Дата размещения приглашения на официальном сайте </w:t>
            </w:r>
          </w:p>
        </w:tc>
        <w:tc>
          <w:tcPr>
            <w:tcW w:w="4682" w:type="dxa"/>
          </w:tcPr>
          <w:p w:rsidR="001C33C7" w:rsidRPr="00C03DC4" w:rsidRDefault="001C33C7" w:rsidP="002550F5">
            <w:pPr>
              <w:rPr>
                <w:bCs/>
                <w:szCs w:val="30"/>
              </w:rPr>
            </w:pPr>
          </w:p>
        </w:tc>
      </w:tr>
      <w:tr w:rsidR="001C33C7" w:rsidRPr="00C03DC4" w:rsidTr="00022344">
        <w:trPr>
          <w:trHeight w:val="280"/>
        </w:trPr>
        <w:tc>
          <w:tcPr>
            <w:tcW w:w="469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682" w:type="dxa"/>
          </w:tcPr>
          <w:p w:rsidR="001C33C7" w:rsidRPr="00C03DC4" w:rsidRDefault="001C33C7" w:rsidP="002550F5">
            <w:pPr>
              <w:rPr>
                <w:bCs/>
                <w:szCs w:val="30"/>
              </w:rPr>
            </w:pPr>
          </w:p>
        </w:tc>
      </w:tr>
      <w:tr w:rsidR="001C33C7" w:rsidRPr="00C03DC4" w:rsidTr="00022344">
        <w:trPr>
          <w:trHeight w:val="280"/>
        </w:trPr>
        <w:tc>
          <w:tcPr>
            <w:tcW w:w="469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731948">
              <w:rPr>
                <w:bCs/>
                <w:szCs w:val="30"/>
              </w:rPr>
              <w:t>Срок для подготовки и подачи предложений</w:t>
            </w:r>
          </w:p>
        </w:tc>
        <w:tc>
          <w:tcPr>
            <w:tcW w:w="4682" w:type="dxa"/>
          </w:tcPr>
          <w:p w:rsidR="001C33C7" w:rsidRPr="009D4B45" w:rsidRDefault="001C33C7" w:rsidP="002550F5">
            <w:pPr>
              <w:rPr>
                <w:bCs/>
                <w:szCs w:val="30"/>
              </w:rPr>
            </w:pPr>
          </w:p>
        </w:tc>
      </w:tr>
      <w:tr w:rsidR="001C33C7" w:rsidRPr="00C03DC4" w:rsidTr="00022344">
        <w:trPr>
          <w:cantSplit/>
          <w:trHeight w:val="255"/>
        </w:trPr>
        <w:tc>
          <w:tcPr>
            <w:tcW w:w="4693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Краткое наименование предмета государственной закупки </w:t>
            </w:r>
          </w:p>
        </w:tc>
        <w:tc>
          <w:tcPr>
            <w:tcW w:w="4682" w:type="dxa"/>
          </w:tcPr>
          <w:p w:rsidR="001C33C7" w:rsidRPr="00846B86" w:rsidRDefault="00846B86" w:rsidP="00846B86">
            <w:pPr>
              <w:rPr>
                <w:bCs/>
                <w:szCs w:val="30"/>
              </w:rPr>
            </w:pPr>
            <w:r w:rsidRPr="00846B86">
              <w:t>Виброизоляционная установка и другое оборудование</w:t>
            </w:r>
          </w:p>
        </w:tc>
      </w:tr>
      <w:tr w:rsidR="001C33C7" w:rsidRPr="00C03DC4" w:rsidTr="00022344">
        <w:trPr>
          <w:trHeight w:val="255"/>
        </w:trPr>
        <w:tc>
          <w:tcPr>
            <w:tcW w:w="4693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Дата торгов</w:t>
            </w:r>
          </w:p>
        </w:tc>
        <w:tc>
          <w:tcPr>
            <w:tcW w:w="4682" w:type="dxa"/>
          </w:tcPr>
          <w:p w:rsidR="001C33C7" w:rsidRPr="00C03DC4" w:rsidRDefault="001C33C7" w:rsidP="002550F5">
            <w:pPr>
              <w:rPr>
                <w:bCs/>
                <w:szCs w:val="30"/>
              </w:rPr>
            </w:pPr>
          </w:p>
        </w:tc>
      </w:tr>
      <w:tr w:rsidR="00E91EA2" w:rsidRPr="00C03DC4" w:rsidTr="00022344">
        <w:trPr>
          <w:trHeight w:val="255"/>
        </w:trPr>
        <w:tc>
          <w:tcPr>
            <w:tcW w:w="4693" w:type="dxa"/>
            <w:hideMark/>
          </w:tcPr>
          <w:p w:rsidR="00E91EA2" w:rsidRPr="00C03DC4" w:rsidRDefault="00E91EA2" w:rsidP="00022344">
            <w:pPr>
              <w:rPr>
                <w:bCs/>
                <w:szCs w:val="30"/>
                <w:highlight w:val="yellow"/>
              </w:rPr>
            </w:pPr>
            <w:r w:rsidRPr="00C03DC4">
              <w:rPr>
                <w:bCs/>
                <w:szCs w:val="30"/>
              </w:rPr>
              <w:t>Принцип формирования начальной цены электронного аукциона</w:t>
            </w:r>
          </w:p>
        </w:tc>
        <w:tc>
          <w:tcPr>
            <w:tcW w:w="4682" w:type="dxa"/>
            <w:hideMark/>
          </w:tcPr>
          <w:p w:rsidR="00E91EA2" w:rsidRPr="00B03BF3" w:rsidRDefault="00E91EA2" w:rsidP="00DC4D06">
            <w:pPr>
              <w:rPr>
                <w:highlight w:val="yellow"/>
              </w:rPr>
            </w:pPr>
            <w:r w:rsidRPr="00B03BF3">
              <w:t>наименьшая цена из предложений участников, допущенных к торгам</w:t>
            </w:r>
          </w:p>
        </w:tc>
      </w:tr>
      <w:tr w:rsidR="001C33C7" w:rsidRPr="00C03DC4" w:rsidTr="00022344">
        <w:trPr>
          <w:trHeight w:val="255"/>
        </w:trPr>
        <w:tc>
          <w:tcPr>
            <w:tcW w:w="4693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Шаг электронного аукциона</w:t>
            </w:r>
          </w:p>
        </w:tc>
        <w:tc>
          <w:tcPr>
            <w:tcW w:w="4682" w:type="dxa"/>
            <w:hideMark/>
          </w:tcPr>
          <w:p w:rsidR="001C33C7" w:rsidRPr="00022344" w:rsidRDefault="001C33C7" w:rsidP="004A535E">
            <w:pPr>
              <w:rPr>
                <w:szCs w:val="30"/>
                <w:highlight w:val="yellow"/>
                <w:lang w:val="en-US"/>
              </w:rPr>
            </w:pPr>
          </w:p>
        </w:tc>
      </w:tr>
      <w:tr w:rsidR="001C33C7" w:rsidRPr="00C03DC4" w:rsidTr="00022344">
        <w:trPr>
          <w:trHeight w:val="255"/>
        </w:trPr>
        <w:tc>
          <w:tcPr>
            <w:tcW w:w="4693" w:type="dxa"/>
            <w:hideMark/>
          </w:tcPr>
          <w:p w:rsidR="001C33C7" w:rsidRPr="00022344" w:rsidRDefault="001C33C7" w:rsidP="00022344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Ориентировочная стоимость закупки</w:t>
            </w:r>
          </w:p>
        </w:tc>
        <w:tc>
          <w:tcPr>
            <w:tcW w:w="4682" w:type="dxa"/>
            <w:hideMark/>
          </w:tcPr>
          <w:p w:rsidR="001C33C7" w:rsidRPr="00405347" w:rsidRDefault="001C33C7" w:rsidP="00DC06A7">
            <w:pPr>
              <w:ind w:hanging="18"/>
              <w:rPr>
                <w:szCs w:val="30"/>
              </w:rPr>
            </w:pPr>
          </w:p>
        </w:tc>
      </w:tr>
      <w:tr w:rsidR="001C33C7" w:rsidRPr="00C03DC4" w:rsidTr="00022344">
        <w:trPr>
          <w:trHeight w:val="255"/>
        </w:trPr>
        <w:tc>
          <w:tcPr>
            <w:tcW w:w="4693" w:type="dxa"/>
          </w:tcPr>
          <w:p w:rsidR="001C33C7" w:rsidRPr="00C03DC4" w:rsidRDefault="001C33C7" w:rsidP="00022344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Размер оплаты услуг оператора электронной торговой площадки</w:t>
            </w:r>
          </w:p>
        </w:tc>
        <w:tc>
          <w:tcPr>
            <w:tcW w:w="4682" w:type="dxa"/>
          </w:tcPr>
          <w:p w:rsidR="001C33C7" w:rsidRPr="00022344" w:rsidRDefault="00022344" w:rsidP="00022344">
            <w:r w:rsidRPr="00022344">
              <w:t>определяется оператором эле</w:t>
            </w:r>
            <w:r>
              <w:t>к</w:t>
            </w:r>
            <w:r w:rsidRPr="00022344">
              <w:t>тронной торговой площадки</w:t>
            </w:r>
          </w:p>
        </w:tc>
      </w:tr>
      <w:tr w:rsidR="001C33C7" w:rsidRPr="00C03DC4" w:rsidTr="00022344">
        <w:trPr>
          <w:trHeight w:val="255"/>
        </w:trPr>
        <w:tc>
          <w:tcPr>
            <w:tcW w:w="4693" w:type="dxa"/>
            <w:hideMark/>
          </w:tcPr>
          <w:p w:rsidR="001C33C7" w:rsidRPr="00C03DC4" w:rsidRDefault="001C33C7" w:rsidP="00022344">
            <w:pPr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Требования к составу участников</w:t>
            </w:r>
          </w:p>
        </w:tc>
        <w:tc>
          <w:tcPr>
            <w:tcW w:w="4682" w:type="dxa"/>
          </w:tcPr>
          <w:p w:rsidR="001C33C7" w:rsidRPr="00C03DC4" w:rsidRDefault="0067198F" w:rsidP="00E23042">
            <w:pPr>
              <w:rPr>
                <w:bCs/>
                <w:szCs w:val="30"/>
              </w:rPr>
            </w:pPr>
            <w:r w:rsidRPr="0067198F">
              <w:rPr>
                <w:bCs/>
                <w:szCs w:val="30"/>
              </w:rPr>
              <w:t>в соответствии с пунктом 3 статьи 14 Закона Республики Беларусь от 13 июля 2012 года «О государственных закупках товаров (работ, услуг)». К участию в электронном аукционе приглашаются потенциальные поставщики товаров независимо от организационно-правовой формы, формы собственности, места нахождения и</w:t>
            </w:r>
            <w:r w:rsidR="00E23042">
              <w:rPr>
                <w:bCs/>
                <w:szCs w:val="30"/>
              </w:rPr>
              <w:t xml:space="preserve"> места происхождения капитала, </w:t>
            </w:r>
            <w:r w:rsidRPr="0067198F">
              <w:rPr>
                <w:bCs/>
                <w:szCs w:val="30"/>
              </w:rPr>
              <w:t xml:space="preserve">за исключением юридических лиц и индивидуальных предпринимателей, включенных в реестр поставщиков (подрядчиков, исполнителей), временно не допускаемых к закупкам, ведение которого осуществляет Министерство </w:t>
            </w:r>
            <w:r w:rsidR="00E23042">
              <w:rPr>
                <w:bCs/>
                <w:szCs w:val="30"/>
              </w:rPr>
              <w:t>торговли</w:t>
            </w:r>
            <w:r w:rsidRPr="0067198F">
              <w:rPr>
                <w:bCs/>
                <w:szCs w:val="30"/>
              </w:rPr>
              <w:t xml:space="preserve"> Республики Беларусь  в установленном законодательством порядке.</w:t>
            </w:r>
          </w:p>
        </w:tc>
      </w:tr>
      <w:tr w:rsidR="001C33C7" w:rsidRPr="00C03DC4" w:rsidTr="00022344">
        <w:trPr>
          <w:trHeight w:val="551"/>
        </w:trPr>
        <w:tc>
          <w:tcPr>
            <w:tcW w:w="4693" w:type="dxa"/>
            <w:hideMark/>
          </w:tcPr>
          <w:p w:rsidR="001C33C7" w:rsidRPr="00C03DC4" w:rsidRDefault="001C33C7" w:rsidP="00022344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Требования к квали</w:t>
            </w:r>
            <w:r>
              <w:rPr>
                <w:bCs/>
                <w:szCs w:val="30"/>
              </w:rPr>
              <w:t>фикационным данным участника</w:t>
            </w:r>
          </w:p>
        </w:tc>
        <w:tc>
          <w:tcPr>
            <w:tcW w:w="4682" w:type="dxa"/>
            <w:hideMark/>
          </w:tcPr>
          <w:p w:rsidR="001C33C7" w:rsidRPr="00C03DC4" w:rsidRDefault="0067198F" w:rsidP="002550F5">
            <w:pPr>
              <w:rPr>
                <w:bCs/>
                <w:szCs w:val="30"/>
              </w:rPr>
            </w:pPr>
            <w:r w:rsidRPr="0067198F">
              <w:rPr>
                <w:bCs/>
                <w:szCs w:val="30"/>
              </w:rPr>
              <w:t xml:space="preserve">Участником не может быть юридическое лицо, находящееся в процессе ликвидации, реорганизации или признанное в установленном законодательными актами порядке экономически несостоятельным (банкротом), а также индивидуальный предприниматель, находящийся в стадии прекращения деятельности или </w:t>
            </w:r>
            <w:r w:rsidRPr="0067198F">
              <w:rPr>
                <w:bCs/>
                <w:szCs w:val="30"/>
              </w:rPr>
              <w:lastRenderedPageBreak/>
              <w:t>признанный в установленном законодательными актами порядке экономически несостоятельным (банкротом), а также лицо, представившее недостоверную информацию о себе.</w:t>
            </w:r>
          </w:p>
        </w:tc>
      </w:tr>
      <w:tr w:rsidR="006F0B61" w:rsidRPr="00C03DC4" w:rsidTr="00022344">
        <w:trPr>
          <w:trHeight w:val="255"/>
        </w:trPr>
        <w:tc>
          <w:tcPr>
            <w:tcW w:w="9375" w:type="dxa"/>
            <w:gridSpan w:val="2"/>
          </w:tcPr>
          <w:p w:rsidR="006F0B61" w:rsidRPr="00C03DC4" w:rsidRDefault="006F0B61" w:rsidP="00AB1BDB">
            <w:pPr>
              <w:jc w:val="center"/>
              <w:rPr>
                <w:b/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lastRenderedPageBreak/>
              <w:t xml:space="preserve">Сведения о лотах </w:t>
            </w:r>
          </w:p>
        </w:tc>
      </w:tr>
      <w:tr w:rsidR="006F0B61" w:rsidRPr="00C03DC4" w:rsidTr="00AB1BDB">
        <w:trPr>
          <w:trHeight w:val="255"/>
        </w:trPr>
        <w:tc>
          <w:tcPr>
            <w:tcW w:w="9375" w:type="dxa"/>
            <w:gridSpan w:val="2"/>
          </w:tcPr>
          <w:p w:rsidR="006F0B61" w:rsidRPr="00C03DC4" w:rsidRDefault="006F0B61" w:rsidP="00AB1BDB">
            <w:pPr>
              <w:ind w:firstLine="720"/>
              <w:jc w:val="center"/>
              <w:rPr>
                <w:szCs w:val="30"/>
                <w:lang w:val="en-US"/>
              </w:rPr>
            </w:pPr>
            <w:r w:rsidRPr="00C03DC4">
              <w:rPr>
                <w:bCs/>
                <w:color w:val="000000"/>
                <w:szCs w:val="30"/>
              </w:rPr>
              <w:t>Лот №____</w:t>
            </w:r>
            <w:r w:rsidRPr="002550F5">
              <w:rPr>
                <w:bCs/>
                <w:color w:val="000000"/>
                <w:szCs w:val="30"/>
                <w:u w:val="single"/>
              </w:rPr>
              <w:t>1</w:t>
            </w:r>
            <w:r w:rsidRPr="00C03DC4">
              <w:rPr>
                <w:bCs/>
                <w:color w:val="000000"/>
                <w:szCs w:val="30"/>
              </w:rPr>
              <w:t>__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 xml:space="preserve">Наименование товаров (работ, услуг) 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9C2C0E" w:rsidP="00DC06A7">
            <w:pPr>
              <w:rPr>
                <w:bCs/>
              </w:rPr>
            </w:pPr>
            <w:r w:rsidRPr="006D05A7">
              <w:rPr>
                <w:lang w:val="be-BY"/>
              </w:rPr>
              <w:t>Виброизоляционная оптическая установка для испытаний лазеров в составе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рама с пассивной изоляцией Thorlabs SDP75120 или аналог</w:t>
            </w:r>
          </w:p>
          <w:p w:rsidR="009C2C0E" w:rsidRDefault="009C2C0E" w:rsidP="009C2C0E">
            <w:pPr>
              <w:pStyle w:val="table10"/>
              <w:ind w:right="-46"/>
            </w:pPr>
            <w:r w:rsidRPr="006D05A7">
              <w:t>Обеспечиваемые размеры устанавливаемой на раму оптической плиты: 750 мм x 1200 мм, высота рамы: 765 мм, система опор с пассивной виброизоляцией, цельная конструкция из стали, максимальная нагрузка 700 кг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оптическая плита Thorlabs B75120A или аналог</w:t>
            </w:r>
          </w:p>
          <w:p w:rsidR="009C2C0E" w:rsidRDefault="009C2C0E" w:rsidP="009C2C0E">
            <w:pPr>
              <w:pStyle w:val="table10"/>
              <w:ind w:right="-46"/>
            </w:pPr>
            <w:r w:rsidRPr="006D05A7">
              <w:t>Размеры (длина х ширина х толщина): 750 мм x 1200 мм х 600 мм, плоскостность поверхности: ±0.1 мм на 1 м², 5 мм поверхность из нержавеющей стали, монтажные отверстия M6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боковая полка Thorlabs PSY350 или аналог</w:t>
            </w:r>
          </w:p>
          <w:p w:rsidR="009C2C0E" w:rsidRDefault="009C2C0E" w:rsidP="009C2C0E">
            <w:pPr>
              <w:pStyle w:val="table10"/>
              <w:ind w:right="-46"/>
            </w:pPr>
            <w:r w:rsidRPr="006D05A7">
              <w:t>Размеры: 750 мм x 600 мм, максимальная нагрузка: 50 кг, материал: МДФ с меламиновым покрытием, полка должна жестко прикрепляться к боковой стороне рамы Thorlabs SDP75120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держатель монитора Thorlabs PSY121 или аналог</w:t>
            </w:r>
          </w:p>
          <w:p w:rsidR="009C2C0E" w:rsidRDefault="009C2C0E" w:rsidP="009C2C0E">
            <w:pPr>
              <w:pStyle w:val="table10"/>
              <w:ind w:right="-46"/>
            </w:pPr>
            <w:r w:rsidRPr="006D05A7">
              <w:t>Держатель монитора с поворотным кронштейном, держатель должен фиксироваться на стальном стержне диаметром 1.5" (Thorlabs PSY161 или PSY162), максимальная нагрузка: 10 кг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стеллаж Thorlabs PSY220 или аналог</w:t>
            </w:r>
          </w:p>
          <w:p w:rsidR="009C2C0E" w:rsidRDefault="009C2C0E" w:rsidP="009C2C0E">
            <w:pPr>
              <w:pStyle w:val="table10"/>
              <w:ind w:right="-46"/>
            </w:pPr>
            <w:r w:rsidRPr="006D05A7">
              <w:t>Стальная панель с 70 слотами для размещения пластиковых лотков раз мер стеллажа: 532.6 мм x 580.0 мм,  максимальная нагрузка: 50 кг, размеры лотков:  глубина 135 мм х ширина 105 мм, высота 75 мм, передний бортик высотой 34 мм (5 штук), глубина 190 мм х ширина 105 мм, высота 75 мм, передний бортик высотой 34 мм (5 штук), глубина 210 мм х ширина 140 мм, высота 130 мм, передний бортик высотой 58 мм (3 штуки), стеллаж должен закрепляться к раме Thorlabs SDP75120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полка на стойках Thorlabs PSY151 или аналог</w:t>
            </w:r>
          </w:p>
          <w:p w:rsidR="009C2C0E" w:rsidRDefault="009C2C0E" w:rsidP="009C2C0E">
            <w:pPr>
              <w:pStyle w:val="table10"/>
              <w:ind w:right="-46"/>
            </w:pPr>
            <w:r w:rsidRPr="00661350">
              <w:t>Полка глубиной 300 мм, длиной 1200 мм с креплениями к двум стальным стойкам высотой 750 мм, стойки должны входить в комплектацию полки и закрепляться на раме Thorlabs SDP75120, материал полки: упрочненный МДФ с меламиновым покрытием, зажимы должны обеспечивать крепление полки к стойкам на произвольной высоте,  максимальная нагрузка: 50 кг, полка фиксируется под углом 12 градусов к горизонту, на передней грани полки должен быть 2 мм стальной упор высотой 22 мм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Электрические выводы Thorlabs HDPS12-EU или аналог</w:t>
            </w:r>
          </w:p>
          <w:p w:rsidR="009C2C0E" w:rsidRDefault="009C2C0E" w:rsidP="009C2C0E">
            <w:pPr>
              <w:pStyle w:val="table10"/>
              <w:ind w:right="-46"/>
            </w:pPr>
            <w:r w:rsidRPr="00661350">
              <w:t>Количество розеток: 12, защита от пульсаций, электрическое заземление, ударопрочный металлический корпус, длина провода: 3 м, наличие выключателя, система выводов должна крепиться к раме Thorlabs SDP75120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магнитный лоток Thorlabs MPT01 (5 штук) или аналог</w:t>
            </w:r>
          </w:p>
          <w:p w:rsidR="009C2C0E" w:rsidRPr="009C2C0E" w:rsidRDefault="009C2C0E" w:rsidP="009C2C0E">
            <w:pPr>
              <w:pStyle w:val="table10"/>
              <w:ind w:right="-46"/>
            </w:pPr>
            <w:r w:rsidRPr="00661350">
              <w:t xml:space="preserve">лоток диаметром 152.0 мм, глубиной 31.0 мм, магнит для удерживания металлических деталей, конструкция из нержавеющей стали, защитная </w:t>
            </w:r>
            <w:r w:rsidRPr="009C2C0E">
              <w:t>резиновая крышка, пластиковый дополнительный корпус для хранения немагнитных элементов, максимальный вес удерживаемых деталей 1 кг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моноблок</w:t>
            </w:r>
          </w:p>
          <w:p w:rsidR="0024765B" w:rsidRDefault="009C2C0E" w:rsidP="009C2C0E">
            <w:pPr>
              <w:ind w:right="-104"/>
              <w:rPr>
                <w:sz w:val="20"/>
                <w:szCs w:val="20"/>
              </w:rPr>
            </w:pPr>
            <w:r w:rsidRPr="009C2C0E">
              <w:rPr>
                <w:sz w:val="20"/>
                <w:szCs w:val="20"/>
              </w:rPr>
              <w:t>диагональ не менее 19.5", разрешение не менее 1600 x 900, матовый, процессор не хуже Intel Core i3 5005U 2000 МГц, оперативная память не менее 2 ГБ, HDD 1000 ГБ, Intel HD Graphics 5500</w:t>
            </w:r>
          </w:p>
          <w:p w:rsidR="009C2C0E" w:rsidRDefault="009C2C0E" w:rsidP="009C2C0E">
            <w:pPr>
              <w:ind w:right="-104"/>
              <w:rPr>
                <w:sz w:val="20"/>
                <w:szCs w:val="20"/>
              </w:rPr>
            </w:pPr>
          </w:p>
          <w:p w:rsidR="009C2C0E" w:rsidRPr="009C2C0E" w:rsidRDefault="009C2C0E" w:rsidP="009C2C0E">
            <w:pPr>
              <w:pStyle w:val="table10"/>
              <w:ind w:right="-46"/>
            </w:pPr>
            <w:r w:rsidRPr="00661350">
              <w:t>При заявке аналогичной виброизоляционной установки другого производителя необходимо предоставить сертифицированное подтверждение идентичности заявляемых параметров, состав установки должен по</w:t>
            </w:r>
            <w:r>
              <w:t xml:space="preserve">лностью совпадать с заявленным. </w:t>
            </w:r>
            <w:r w:rsidRPr="00661350">
              <w:t>Гарантия: не менее 1 года, обеспечение постгарантийного обслуживания: не менее 3 лет.</w:t>
            </w:r>
          </w:p>
        </w:tc>
      </w:tr>
      <w:tr w:rsidR="00BE73D4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BE73D4" w:rsidRPr="00BE73D4" w:rsidRDefault="00BE73D4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Код по ОКРБ 007-2007 (подвид)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BE73D4" w:rsidRPr="004C30B4" w:rsidRDefault="009C2C0E" w:rsidP="00DC4D06">
            <w:pPr>
              <w:rPr>
                <w:bCs/>
                <w:szCs w:val="30"/>
                <w:highlight w:val="yellow"/>
              </w:rPr>
            </w:pPr>
            <w:r w:rsidRPr="009C2C0E">
              <w:t>26.51.66.790</w:t>
            </w:r>
          </w:p>
        </w:tc>
      </w:tr>
      <w:tr w:rsidR="00BE73D4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BE73D4" w:rsidRPr="00BE73D4" w:rsidRDefault="00BE73D4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Наименование в соответствии с ОКРБ 007-2007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BE73D4" w:rsidRPr="00747012" w:rsidRDefault="009C2C0E" w:rsidP="00747012">
            <w:r w:rsidRPr="009C2C0E">
              <w:t>Приборы, устройства и машины для измерения или контроля электронные прочие, не включенные в другие группировки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  <w:lang w:val="en-US"/>
              </w:rPr>
            </w:pPr>
            <w:r w:rsidRPr="00BE73D4">
              <w:rPr>
                <w:bCs/>
                <w:color w:val="000000"/>
              </w:rPr>
              <w:t>Объем (количество)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4C30B4" w:rsidP="004C30B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C7511C" w:rsidP="00C7511C">
            <w:pPr>
              <w:rPr>
                <w:bCs/>
              </w:rPr>
            </w:pPr>
            <w:r>
              <w:rPr>
                <w:bCs/>
              </w:rPr>
              <w:t>3-</w:t>
            </w:r>
            <w:r w:rsidR="00565E81" w:rsidRPr="00565E81">
              <w:rPr>
                <w:bCs/>
              </w:rPr>
              <w:t>4 кв. 201</w:t>
            </w:r>
            <w:r>
              <w:rPr>
                <w:bCs/>
              </w:rPr>
              <w:t>6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Место поставки товаров (выполнения работ,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6F0B61" w:rsidP="00E51692">
            <w:pPr>
              <w:rPr>
                <w:bCs/>
              </w:rPr>
            </w:pPr>
            <w:r w:rsidRPr="00BE73D4">
              <w:rPr>
                <w:bCs/>
              </w:rPr>
              <w:t>для резидентов РБ – склад Заказчика; для нерезидентов РБ на условиях – Инкотермс-20</w:t>
            </w:r>
            <w:r w:rsidR="00DC06A7" w:rsidRPr="00BE73D4">
              <w:rPr>
                <w:bCs/>
              </w:rPr>
              <w:t>1</w:t>
            </w:r>
            <w:r w:rsidRPr="00BE73D4">
              <w:rPr>
                <w:bCs/>
              </w:rPr>
              <w:t>0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Ориентировочная стоимость государственной закупки по лоту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</w:rPr>
            </w:pP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Источник финансирования государственной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8D790D" w:rsidP="00E91EA2">
            <w:pPr>
              <w:rPr>
                <w:bCs/>
              </w:rPr>
            </w:pPr>
            <w:r>
              <w:rPr>
                <w:bCs/>
              </w:rPr>
              <w:t>Республиканский бюджет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Примечание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6F0B61" w:rsidP="009D4B45">
            <w:pPr>
              <w:rPr>
                <w:bCs/>
              </w:rPr>
            </w:pPr>
          </w:p>
        </w:tc>
      </w:tr>
      <w:tr w:rsidR="00C7511C" w:rsidRPr="00C03DC4" w:rsidTr="00607339">
        <w:trPr>
          <w:trHeight w:val="255"/>
        </w:trPr>
        <w:tc>
          <w:tcPr>
            <w:tcW w:w="9375" w:type="dxa"/>
            <w:gridSpan w:val="2"/>
          </w:tcPr>
          <w:p w:rsidR="00C7511C" w:rsidRPr="00C03DC4" w:rsidRDefault="00C7511C" w:rsidP="00C7511C">
            <w:pPr>
              <w:ind w:firstLine="720"/>
              <w:jc w:val="center"/>
              <w:rPr>
                <w:szCs w:val="30"/>
                <w:lang w:val="en-US"/>
              </w:rPr>
            </w:pPr>
            <w:r w:rsidRPr="00C03DC4">
              <w:rPr>
                <w:bCs/>
                <w:color w:val="000000"/>
                <w:szCs w:val="30"/>
              </w:rPr>
              <w:t>Лот №____</w:t>
            </w:r>
            <w:r>
              <w:rPr>
                <w:bCs/>
                <w:color w:val="000000"/>
                <w:szCs w:val="30"/>
                <w:u w:val="single"/>
              </w:rPr>
              <w:t>2</w:t>
            </w:r>
            <w:r w:rsidRPr="00C03DC4">
              <w:rPr>
                <w:bCs/>
                <w:color w:val="000000"/>
                <w:szCs w:val="30"/>
              </w:rPr>
              <w:t>__</w:t>
            </w:r>
          </w:p>
        </w:tc>
      </w:tr>
      <w:tr w:rsidR="00C7511C" w:rsidRPr="00BE73D4" w:rsidTr="00607339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 xml:space="preserve">Наименование товаров (работ, услуг) 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C7511C" w:rsidRPr="009C2C0E" w:rsidRDefault="009C2C0E" w:rsidP="00607339">
            <w:pPr>
              <w:rPr>
                <w:bCs/>
                <w:lang w:val="be-BY"/>
              </w:rPr>
            </w:pPr>
            <w:r w:rsidRPr="009C2C0E">
              <w:t>Гелий-неоновый лазер с держателем в составе</w:t>
            </w:r>
          </w:p>
        </w:tc>
      </w:tr>
      <w:tr w:rsidR="00C7511C" w:rsidRPr="00BE73D4" w:rsidTr="00607339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9C2C0E" w:rsidRDefault="009C2C0E" w:rsidP="009C2C0E">
            <w:pPr>
              <w:pStyle w:val="table10"/>
              <w:ind w:right="-46"/>
              <w:rPr>
                <w:b/>
                <w:lang w:val="be-BY"/>
              </w:rPr>
            </w:pPr>
            <w:r w:rsidRPr="009C2C0E">
              <w:rPr>
                <w:b/>
                <w:lang w:val="be-BY"/>
              </w:rPr>
              <w:t>гелий-неоновый лазер Thorlabs HNL020R-EC или аналог</w:t>
            </w:r>
          </w:p>
          <w:p w:rsidR="009C2C0E" w:rsidRDefault="009C2C0E" w:rsidP="009C2C0E">
            <w:pPr>
              <w:pStyle w:val="table10"/>
              <w:ind w:right="-46"/>
            </w:pPr>
            <w:r>
              <w:t>Длина волны излучения: 632.8 нм, мощность: 2 мВт, поляризация: случайная, в комплекте блок питания на 220 В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  <w:lang w:val="be-BY"/>
              </w:rPr>
            </w:pPr>
            <w:r w:rsidRPr="009C2C0E">
              <w:rPr>
                <w:b/>
                <w:lang w:val="be-BY"/>
              </w:rPr>
              <w:t>держатель Thorlabs C1512/M или аналог</w:t>
            </w:r>
          </w:p>
          <w:p w:rsidR="009C2C0E" w:rsidRDefault="009C2C0E" w:rsidP="009C2C0E">
            <w:pPr>
              <w:pStyle w:val="table10"/>
              <w:ind w:right="-46"/>
            </w:pPr>
            <w:r>
              <w:t>V-образный держатель на стержне, в комплекте зажимная рукоятка PM4/M для фиксации оптики до высотой до 40,9 мм на стержне с резьбой М4, v-образный держатель предназначен для фиксации цилиндрических объектов диаметром от 6,5 до 51,9 мм,  регулировка угла наклона держателя ±10°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  <w:lang w:val="be-BY"/>
              </w:rPr>
            </w:pPr>
            <w:r w:rsidRPr="009C2C0E">
              <w:rPr>
                <w:b/>
                <w:lang w:val="be-BY"/>
              </w:rPr>
              <w:t>стойка Thorlabs P200/M или аналог</w:t>
            </w:r>
          </w:p>
          <w:p w:rsidR="009C2C0E" w:rsidRPr="009C2C0E" w:rsidRDefault="009C2C0E" w:rsidP="009C2C0E">
            <w:pPr>
              <w:pStyle w:val="table10"/>
              <w:ind w:right="-46"/>
            </w:pPr>
            <w:r>
              <w:t xml:space="preserve">диаметр: 1.5", </w:t>
            </w:r>
            <w:r w:rsidRPr="009C2C0E">
              <w:t>материал: немагнитная нержавеющая сталь, отверстия для крепление с резьбой M6, длина 200 мм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  <w:lang w:val="be-BY"/>
              </w:rPr>
            </w:pPr>
            <w:r w:rsidRPr="009C2C0E">
              <w:rPr>
                <w:b/>
                <w:lang w:val="be-BY"/>
              </w:rPr>
              <w:t>адаптер Thorlabs PB4/M или аналог</w:t>
            </w:r>
          </w:p>
          <w:p w:rsidR="009C2C0E" w:rsidRPr="009C2C0E" w:rsidRDefault="009C2C0E" w:rsidP="009C2C0E">
            <w:pPr>
              <w:pStyle w:val="table10"/>
              <w:ind w:right="-46"/>
            </w:pPr>
            <w:r w:rsidRPr="009C2C0E">
              <w:t>адаптер M6 x 1.0, материал: нержавеющая сталь, совместим со стойкой Thorlabs P200/M</w:t>
            </w:r>
          </w:p>
          <w:p w:rsidR="009C2C0E" w:rsidRDefault="009C2C0E" w:rsidP="009C2C0E">
            <w:pPr>
              <w:pStyle w:val="table10"/>
              <w:ind w:right="-46"/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зажимная вилка Thorlabs PF175 или аналог</w:t>
            </w:r>
          </w:p>
          <w:p w:rsidR="00C7511C" w:rsidRDefault="009C2C0E" w:rsidP="009C2C0E">
            <w:pPr>
              <w:ind w:right="-104"/>
              <w:rPr>
                <w:sz w:val="20"/>
                <w:szCs w:val="20"/>
              </w:rPr>
            </w:pPr>
            <w:r w:rsidRPr="009C2C0E">
              <w:rPr>
                <w:sz w:val="20"/>
                <w:szCs w:val="20"/>
              </w:rPr>
              <w:t>универсальная зажимная вилка для фиксации  стойки Thorlabs P200/M или адаптера PB4/M на оптичесокй плите</w:t>
            </w:r>
          </w:p>
          <w:p w:rsidR="009C2C0E" w:rsidRDefault="009C2C0E" w:rsidP="009C2C0E">
            <w:pPr>
              <w:ind w:right="-104"/>
              <w:rPr>
                <w:sz w:val="20"/>
                <w:szCs w:val="20"/>
              </w:rPr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lang w:val="be-BY"/>
              </w:rPr>
            </w:pPr>
            <w:r w:rsidRPr="00661350">
              <w:rPr>
                <w:lang w:val="be-BY"/>
              </w:rPr>
              <w:t>При заявке аналогичного лазера с держателем другого производителя необходимо предоставить сертифицированное подтверждение заявляемых параметров, каждый из которых должен быть не хуже приведенных характеристик лазера и всех остальных комплектующих.</w:t>
            </w:r>
            <w:r>
              <w:rPr>
                <w:lang w:val="be-BY"/>
              </w:rPr>
              <w:t xml:space="preserve"> Гаран</w:t>
            </w:r>
            <w:r w:rsidRPr="00661350">
              <w:rPr>
                <w:lang w:val="be-BY"/>
              </w:rPr>
              <w:t>тия: не менее 1 года, обеспечение постгарантийного обслуживания: не менее 3 лет.</w:t>
            </w:r>
          </w:p>
        </w:tc>
      </w:tr>
      <w:tr w:rsidR="00C7511C" w:rsidRPr="004C30B4" w:rsidTr="00607339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Код по ОКРБ 007-2007 (подвид)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C7511C" w:rsidRPr="004C30B4" w:rsidRDefault="009C2C0E" w:rsidP="00607339">
            <w:pPr>
              <w:rPr>
                <w:bCs/>
                <w:szCs w:val="30"/>
                <w:highlight w:val="yellow"/>
              </w:rPr>
            </w:pPr>
            <w:r w:rsidRPr="009C2C0E">
              <w:t>26.70.23.300</w:t>
            </w:r>
          </w:p>
        </w:tc>
      </w:tr>
      <w:tr w:rsidR="00C7511C" w:rsidRPr="00747012" w:rsidTr="00607339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Наименование в соответствии с ОКРБ 007-2007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C7511C" w:rsidRPr="00747012" w:rsidRDefault="009C2C0E" w:rsidP="00607339">
            <w:r w:rsidRPr="009C2C0E">
              <w:t>Лазеры (кроме лазерных диодов, машин и прис</w:t>
            </w:r>
            <w:r>
              <w:t>пособлений, содержащих лазеры)</w:t>
            </w:r>
          </w:p>
        </w:tc>
      </w:tr>
      <w:tr w:rsidR="00C7511C" w:rsidRPr="00BE73D4" w:rsidTr="00607339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  <w:color w:val="000000"/>
                <w:lang w:val="en-US"/>
              </w:rPr>
            </w:pPr>
            <w:r w:rsidRPr="00BE73D4">
              <w:rPr>
                <w:bCs/>
                <w:color w:val="000000"/>
              </w:rPr>
              <w:t>Объем (количество)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C7511C" w:rsidRPr="00BE73D4" w:rsidRDefault="00966F39" w:rsidP="0060733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7511C" w:rsidRPr="00BE73D4" w:rsidTr="00607339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</w:rPr>
            </w:pPr>
            <w:r>
              <w:rPr>
                <w:bCs/>
              </w:rPr>
              <w:t>3-</w:t>
            </w:r>
            <w:r w:rsidRPr="00565E81">
              <w:rPr>
                <w:bCs/>
              </w:rPr>
              <w:t>4 кв. 201</w:t>
            </w:r>
            <w:r>
              <w:rPr>
                <w:bCs/>
              </w:rPr>
              <w:t>6</w:t>
            </w:r>
          </w:p>
        </w:tc>
      </w:tr>
      <w:tr w:rsidR="00C7511C" w:rsidRPr="00BE73D4" w:rsidTr="00607339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Место поставки товаров (выполнения работ,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</w:rPr>
            </w:pPr>
            <w:r w:rsidRPr="00BE73D4">
              <w:rPr>
                <w:bCs/>
              </w:rPr>
              <w:t>для резидентов РБ – склад Заказчика; для нерезидентов РБ на условиях – Инкотермс-2010</w:t>
            </w:r>
          </w:p>
        </w:tc>
      </w:tr>
      <w:tr w:rsidR="00C7511C" w:rsidRPr="00BE73D4" w:rsidTr="00607339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Ориентировочная стоимость государственной закупки по лоту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</w:rPr>
            </w:pPr>
          </w:p>
        </w:tc>
      </w:tr>
      <w:tr w:rsidR="00C7511C" w:rsidRPr="00BE73D4" w:rsidTr="00607339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Источник финансирования государственной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</w:rPr>
            </w:pPr>
            <w:r>
              <w:rPr>
                <w:bCs/>
              </w:rPr>
              <w:t>Республиканский бюджет</w:t>
            </w:r>
          </w:p>
        </w:tc>
      </w:tr>
      <w:tr w:rsidR="00C7511C" w:rsidRPr="00BE73D4" w:rsidTr="00607339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Примечание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C7511C" w:rsidRPr="00BE73D4" w:rsidRDefault="00C7511C" w:rsidP="00607339">
            <w:pPr>
              <w:rPr>
                <w:bCs/>
              </w:rPr>
            </w:pPr>
          </w:p>
        </w:tc>
      </w:tr>
      <w:tr w:rsidR="009C2C0E" w:rsidRPr="00C03DC4" w:rsidTr="007774F3">
        <w:trPr>
          <w:trHeight w:val="255"/>
        </w:trPr>
        <w:tc>
          <w:tcPr>
            <w:tcW w:w="9375" w:type="dxa"/>
            <w:gridSpan w:val="2"/>
          </w:tcPr>
          <w:p w:rsidR="009C2C0E" w:rsidRPr="00C03DC4" w:rsidRDefault="009C2C0E" w:rsidP="009C2C0E">
            <w:pPr>
              <w:ind w:firstLine="720"/>
              <w:jc w:val="center"/>
              <w:rPr>
                <w:szCs w:val="30"/>
                <w:lang w:val="en-US"/>
              </w:rPr>
            </w:pPr>
            <w:r w:rsidRPr="00C03DC4">
              <w:rPr>
                <w:bCs/>
                <w:color w:val="000000"/>
                <w:szCs w:val="30"/>
              </w:rPr>
              <w:t>Лот №____</w:t>
            </w:r>
            <w:r>
              <w:rPr>
                <w:bCs/>
                <w:color w:val="000000"/>
                <w:szCs w:val="30"/>
                <w:u w:val="single"/>
              </w:rPr>
              <w:t>3</w:t>
            </w:r>
            <w:r w:rsidRPr="00C03DC4">
              <w:rPr>
                <w:bCs/>
                <w:color w:val="000000"/>
                <w:szCs w:val="30"/>
              </w:rPr>
              <w:t>__</w:t>
            </w:r>
          </w:p>
        </w:tc>
      </w:tr>
      <w:tr w:rsidR="009C2C0E" w:rsidRPr="009C2C0E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 xml:space="preserve">Наименование товаров (работ, услуг) 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9C2C0E" w:rsidRDefault="009C2C0E" w:rsidP="007774F3">
            <w:pPr>
              <w:rPr>
                <w:bCs/>
                <w:lang w:val="be-BY"/>
              </w:rPr>
            </w:pPr>
            <w:r w:rsidRPr="009C2C0E">
              <w:t>Фотоприемник Thorlabs DET08CFC/M или аналог</w:t>
            </w:r>
          </w:p>
        </w:tc>
      </w:tr>
      <w:tr w:rsidR="009C2C0E" w:rsidRPr="009C2C0E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9C2C0E" w:rsidRDefault="009C2C0E" w:rsidP="007774F3">
            <w:pPr>
              <w:pStyle w:val="table10"/>
              <w:ind w:right="-46"/>
              <w:rPr>
                <w:lang w:val="be-BY"/>
              </w:rPr>
            </w:pPr>
            <w:r w:rsidRPr="00661350">
              <w:rPr>
                <w:lang w:val="be-BY"/>
              </w:rPr>
              <w:t>Тип детектора: InGaAs, спектральный диапазон 800-1700 нм, ширина полосы: 5 ГГц, максимальная пиковая мощность: 100 мВт, время нарастания сигнала: &lt;70 пс, время спада сигнала: &lt;70 пс, тип коннекторов: FC/PC, отверстие с резьбой M4 для установкина стойку</w:t>
            </w:r>
          </w:p>
        </w:tc>
      </w:tr>
      <w:tr w:rsidR="009C2C0E" w:rsidRPr="004C30B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Код по ОКРБ 007-2007 (подвид)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4C30B4" w:rsidRDefault="009C2C0E" w:rsidP="007774F3">
            <w:pPr>
              <w:rPr>
                <w:bCs/>
                <w:szCs w:val="30"/>
                <w:highlight w:val="yellow"/>
              </w:rPr>
            </w:pPr>
            <w:r w:rsidRPr="009C2C0E">
              <w:t>26.11.22.400</w:t>
            </w:r>
          </w:p>
        </w:tc>
      </w:tr>
      <w:tr w:rsidR="009C2C0E" w:rsidRPr="00747012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Наименование в соответствии с ОКРБ 007-2007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747012" w:rsidRDefault="009C2C0E" w:rsidP="007774F3">
            <w:r w:rsidRPr="009C2C0E">
              <w:t>Приборы полупроводниковые фоточувствительные; элементы солнечные, фотодиоды, фототранзисторы и аналогичные приборы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  <w:lang w:val="en-US"/>
              </w:rPr>
            </w:pPr>
            <w:r w:rsidRPr="00BE73D4">
              <w:rPr>
                <w:bCs/>
                <w:color w:val="000000"/>
              </w:rPr>
              <w:t>Объем (количество)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>
              <w:rPr>
                <w:bCs/>
              </w:rPr>
              <w:t>3-</w:t>
            </w:r>
            <w:r w:rsidRPr="00565E81">
              <w:rPr>
                <w:bCs/>
              </w:rPr>
              <w:t>4 кв. 201</w:t>
            </w:r>
            <w:r>
              <w:rPr>
                <w:bCs/>
              </w:rPr>
              <w:t>6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Место поставки товаров (выполнения работ,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 w:rsidRPr="00BE73D4">
              <w:rPr>
                <w:bCs/>
              </w:rPr>
              <w:t>для резидентов РБ – склад Заказчика; для нерезидентов РБ на условиях – Инкотермс-2010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Ориентировочная стоимость государственной закупки по лоту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Источник финансирования государственной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>
              <w:rPr>
                <w:bCs/>
              </w:rPr>
              <w:t>Республиканский бюджет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Примечание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</w:p>
        </w:tc>
      </w:tr>
      <w:tr w:rsidR="009C2C0E" w:rsidRPr="00C03DC4" w:rsidTr="007774F3">
        <w:trPr>
          <w:trHeight w:val="255"/>
        </w:trPr>
        <w:tc>
          <w:tcPr>
            <w:tcW w:w="9375" w:type="dxa"/>
            <w:gridSpan w:val="2"/>
          </w:tcPr>
          <w:p w:rsidR="009C2C0E" w:rsidRPr="00C03DC4" w:rsidRDefault="009C2C0E" w:rsidP="009C2C0E">
            <w:pPr>
              <w:ind w:firstLine="720"/>
              <w:jc w:val="center"/>
              <w:rPr>
                <w:szCs w:val="30"/>
                <w:lang w:val="en-US"/>
              </w:rPr>
            </w:pPr>
            <w:r w:rsidRPr="00C03DC4">
              <w:rPr>
                <w:bCs/>
                <w:color w:val="000000"/>
                <w:szCs w:val="30"/>
              </w:rPr>
              <w:t>Лот №____</w:t>
            </w:r>
            <w:r>
              <w:rPr>
                <w:bCs/>
                <w:color w:val="000000"/>
                <w:szCs w:val="30"/>
                <w:u w:val="single"/>
              </w:rPr>
              <w:t>4</w:t>
            </w:r>
            <w:r w:rsidRPr="00C03DC4">
              <w:rPr>
                <w:bCs/>
                <w:color w:val="000000"/>
                <w:szCs w:val="30"/>
              </w:rPr>
              <w:t>__</w:t>
            </w:r>
          </w:p>
        </w:tc>
      </w:tr>
      <w:tr w:rsidR="009C2C0E" w:rsidRPr="009C2C0E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 xml:space="preserve">Наименование товаров (работ, услуг) 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9C2C0E" w:rsidRDefault="009C2C0E" w:rsidP="007774F3">
            <w:pPr>
              <w:rPr>
                <w:bCs/>
                <w:lang w:val="be-BY"/>
              </w:rPr>
            </w:pPr>
            <w:r w:rsidRPr="009C2C0E">
              <w:t>CMOS камера Thorlabs DCC1545M или аналог</w:t>
            </w:r>
          </w:p>
        </w:tc>
      </w:tr>
      <w:tr w:rsidR="009C2C0E" w:rsidRPr="009C2C0E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9C2C0E" w:rsidRDefault="009C2C0E" w:rsidP="007774F3">
            <w:pPr>
              <w:pStyle w:val="table10"/>
              <w:ind w:right="-46"/>
              <w:rPr>
                <w:lang w:val="be-BY"/>
              </w:rPr>
            </w:pPr>
            <w:r w:rsidRPr="00661350">
              <w:rPr>
                <w:lang w:val="be-BY"/>
              </w:rPr>
              <w:t>CMOS (КМОП) камера с разрешением 1280 x 1024, коннектор USB 2.0, класс оптического сенсора 1/2", несущая частота: 5 - 43 МГц, частота кадров: 25 кадров в секунду, предусмотрено крепление CS-типа для объектива, прогрессивная развертка, размеры камеры: 48.6 мм x 44 мм x 25.7 мм. При заявке аналогичной CMOS-камеры другого производителя необходимо предоставить сертифицированное подтверждение заявляемых параметров, каждый из которых должен быть не хуже приведенных характеристик камеры Thorlabs DCC1545M. Гарантия: не менее 1 года. Обеспечение постгарантийного обслуживания: не менее 3 лет</w:t>
            </w:r>
          </w:p>
        </w:tc>
      </w:tr>
      <w:tr w:rsidR="009C2C0E" w:rsidRPr="004C30B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Код по ОКРБ 007-2007 (подвид)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4C30B4" w:rsidRDefault="009C2C0E" w:rsidP="007774F3">
            <w:pPr>
              <w:rPr>
                <w:bCs/>
                <w:szCs w:val="30"/>
                <w:highlight w:val="yellow"/>
              </w:rPr>
            </w:pPr>
            <w:r w:rsidRPr="009C2C0E">
              <w:t>26.11.22.400</w:t>
            </w:r>
          </w:p>
        </w:tc>
      </w:tr>
      <w:tr w:rsidR="009C2C0E" w:rsidRPr="00747012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Наименование в соответствии с ОКРБ 007-2007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747012" w:rsidRDefault="009C2C0E" w:rsidP="007774F3">
            <w:r w:rsidRPr="009C2C0E">
              <w:t>Приборы полупроводниковые фоточувствительные; элементы солнечные, фотодиоды, фототранзисторы и аналогичные приборы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  <w:lang w:val="en-US"/>
              </w:rPr>
            </w:pPr>
            <w:r w:rsidRPr="00BE73D4">
              <w:rPr>
                <w:bCs/>
                <w:color w:val="000000"/>
              </w:rPr>
              <w:t>Объем (количество)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>
              <w:rPr>
                <w:bCs/>
              </w:rPr>
              <w:t>3-</w:t>
            </w:r>
            <w:r w:rsidRPr="00565E81">
              <w:rPr>
                <w:bCs/>
              </w:rPr>
              <w:t>4 кв. 201</w:t>
            </w:r>
            <w:r>
              <w:rPr>
                <w:bCs/>
              </w:rPr>
              <w:t>6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Место поставки товаров (выполнения работ,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 w:rsidRPr="00BE73D4">
              <w:rPr>
                <w:bCs/>
              </w:rPr>
              <w:t>для резидентов РБ – склад Заказчика; для нерезидентов РБ на условиях – Инкотермс-2010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Ориентировочная стоимость государственной закупки по лоту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Источник финансирования государственной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>
              <w:rPr>
                <w:bCs/>
              </w:rPr>
              <w:t>Республиканский бюджет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Примечание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</w:p>
        </w:tc>
      </w:tr>
      <w:tr w:rsidR="009C2C0E" w:rsidRPr="00C03DC4" w:rsidTr="007774F3">
        <w:trPr>
          <w:trHeight w:val="255"/>
        </w:trPr>
        <w:tc>
          <w:tcPr>
            <w:tcW w:w="9375" w:type="dxa"/>
            <w:gridSpan w:val="2"/>
          </w:tcPr>
          <w:p w:rsidR="009C2C0E" w:rsidRPr="00C03DC4" w:rsidRDefault="009C2C0E" w:rsidP="009C2C0E">
            <w:pPr>
              <w:ind w:firstLine="720"/>
              <w:jc w:val="center"/>
              <w:rPr>
                <w:szCs w:val="30"/>
                <w:lang w:val="en-US"/>
              </w:rPr>
            </w:pPr>
            <w:r w:rsidRPr="00C03DC4">
              <w:rPr>
                <w:bCs/>
                <w:color w:val="000000"/>
                <w:szCs w:val="30"/>
              </w:rPr>
              <w:t>Лот №____</w:t>
            </w:r>
            <w:r>
              <w:rPr>
                <w:bCs/>
                <w:color w:val="000000"/>
                <w:szCs w:val="30"/>
                <w:u w:val="single"/>
              </w:rPr>
              <w:t>5</w:t>
            </w:r>
            <w:r w:rsidRPr="00C03DC4">
              <w:rPr>
                <w:bCs/>
                <w:color w:val="000000"/>
                <w:szCs w:val="30"/>
              </w:rPr>
              <w:t>__</w:t>
            </w:r>
          </w:p>
        </w:tc>
      </w:tr>
      <w:tr w:rsidR="009C2C0E" w:rsidRPr="009C2C0E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 xml:space="preserve">Наименование товаров (работ, услуг) 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9C2C0E" w:rsidRDefault="009C2C0E" w:rsidP="007774F3">
            <w:pPr>
              <w:rPr>
                <w:bCs/>
              </w:rPr>
            </w:pPr>
            <w:r w:rsidRPr="009C2C0E">
              <w:t>Держатели, стойки, заж</w:t>
            </w:r>
            <w:r>
              <w:t>имные вилки, адаптеры в составе</w:t>
            </w:r>
          </w:p>
        </w:tc>
      </w:tr>
      <w:tr w:rsidR="009C2C0E" w:rsidRPr="009C2C0E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Держатель Thorlabs PH20/M-P5 или аналог (2 упаковки)</w:t>
            </w:r>
          </w:p>
          <w:p w:rsidR="009C2C0E" w:rsidRPr="00661350" w:rsidRDefault="009C2C0E" w:rsidP="009C2C0E">
            <w:pPr>
              <w:pStyle w:val="table10"/>
              <w:ind w:right="-46"/>
              <w:rPr>
                <w:lang w:val="be-BY"/>
              </w:rPr>
            </w:pPr>
            <w:r w:rsidRPr="00661350">
              <w:rPr>
                <w:lang w:val="be-BY"/>
              </w:rPr>
              <w:t>Держатель служит для стоек диаметром 12.7 мм,подпружиненный винт с гексагональной блокировкой для фиксации стойки, длина 20 мм, количество держателей в упаковке: 5 штук, материал: алюминий, на торце держателя отверстие с резьбой M6</w:t>
            </w:r>
          </w:p>
          <w:p w:rsidR="009C2C0E" w:rsidRDefault="009C2C0E" w:rsidP="009C2C0E">
            <w:pPr>
              <w:pStyle w:val="table10"/>
              <w:ind w:right="-46"/>
              <w:rPr>
                <w:lang w:val="be-BY"/>
              </w:rPr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Держатель Thorlabs PH30/M-P5 или аналог (2 упаковки)</w:t>
            </w:r>
          </w:p>
          <w:p w:rsidR="009C2C0E" w:rsidRPr="00661350" w:rsidRDefault="009C2C0E" w:rsidP="009C2C0E">
            <w:pPr>
              <w:pStyle w:val="table10"/>
              <w:ind w:right="-46"/>
              <w:rPr>
                <w:lang w:val="be-BY"/>
              </w:rPr>
            </w:pPr>
            <w:r w:rsidRPr="00661350">
              <w:rPr>
                <w:lang w:val="be-BY"/>
              </w:rPr>
              <w:t>Держатель служит для стоек диаметром 12.7 мм,подпружиненный винт с гексагональной блокировкой для фиксации стойки, длина 30 мм, количество держателей в упаковке: 5 штук, материал: алюминий, на торце держателя отверстие с резьбой M6</w:t>
            </w:r>
          </w:p>
          <w:p w:rsidR="009C2C0E" w:rsidRDefault="009C2C0E" w:rsidP="009C2C0E">
            <w:pPr>
              <w:pStyle w:val="table10"/>
              <w:ind w:right="-46"/>
              <w:rPr>
                <w:lang w:val="be-BY"/>
              </w:rPr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Держатель Thorlabs PH40/M-P5 или аналог (2 упаковки)</w:t>
            </w:r>
          </w:p>
          <w:p w:rsidR="009C2C0E" w:rsidRPr="00661350" w:rsidRDefault="009C2C0E" w:rsidP="009C2C0E">
            <w:pPr>
              <w:pStyle w:val="table10"/>
              <w:ind w:right="-46"/>
              <w:rPr>
                <w:lang w:val="be-BY"/>
              </w:rPr>
            </w:pPr>
            <w:r w:rsidRPr="00661350">
              <w:rPr>
                <w:lang w:val="be-BY"/>
              </w:rPr>
              <w:t>Держатель служит для стоек диаметром 12.7 мм,подпружиненный винт с гексагональной блокировкой для фиксации стойки, длина 40 мм, количество держателей в упаковке: 5 штук, материал: алюминий, на торце держателя отверстие с резьбой M6</w:t>
            </w: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Держатель Thorlabs PH50/M-P5 или аналог (2 упаковки)</w:t>
            </w:r>
          </w:p>
          <w:p w:rsidR="009C2C0E" w:rsidRPr="00661350" w:rsidRDefault="009C2C0E" w:rsidP="009C2C0E">
            <w:pPr>
              <w:pStyle w:val="table10"/>
              <w:ind w:right="-46"/>
              <w:rPr>
                <w:lang w:val="be-BY"/>
              </w:rPr>
            </w:pPr>
            <w:r w:rsidRPr="00661350">
              <w:rPr>
                <w:lang w:val="be-BY"/>
              </w:rPr>
              <w:t>Держатель служит для стоек диаметром 12.7 мм,подпружиненный винт с гексагональной блокировкой для фиксации стойки, длина 50 мм, количество держателей в упаковке: 5 штук, материал: алюминий, на торце держателя отверстие с резьбой M6</w:t>
            </w:r>
          </w:p>
          <w:p w:rsidR="009C2C0E" w:rsidRDefault="009C2C0E" w:rsidP="009C2C0E">
            <w:pPr>
              <w:pStyle w:val="table10"/>
              <w:ind w:right="-46"/>
              <w:rPr>
                <w:lang w:val="be-BY"/>
              </w:rPr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Короткая зажимная вилка Thorlabs CF125C/M-P5 или аналог (2 упаковки)</w:t>
            </w:r>
          </w:p>
          <w:p w:rsidR="009C2C0E" w:rsidRDefault="009C2C0E" w:rsidP="009C2C0E">
            <w:pPr>
              <w:pStyle w:val="table10"/>
              <w:ind w:right="-46"/>
              <w:rPr>
                <w:lang w:val="be-BY"/>
              </w:rPr>
            </w:pPr>
            <w:r w:rsidRPr="00661350">
              <w:rPr>
                <w:lang w:val="be-BY"/>
              </w:rPr>
              <w:t>служит для фиксации стоек и держателей на оптическом столе, зажимная вилка фиксируется невыпадающим винтом М6, слот длиной 31.5 мм,  количество зажимных вилок в упаковке: 5 штук, материал: нержавеющая сталь</w:t>
            </w:r>
          </w:p>
          <w:p w:rsidR="009C2C0E" w:rsidRDefault="009C2C0E" w:rsidP="009C2C0E">
            <w:pPr>
              <w:pStyle w:val="table10"/>
              <w:ind w:right="-46"/>
              <w:rPr>
                <w:lang w:val="be-BY"/>
              </w:rPr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</w:rPr>
            </w:pPr>
            <w:r w:rsidRPr="009C2C0E">
              <w:rPr>
                <w:b/>
              </w:rPr>
              <w:t>Длинная зажимная вилка Thorlabs CF175C/M-P5 или аналог (2 упаковки)</w:t>
            </w:r>
          </w:p>
          <w:p w:rsidR="009C2C0E" w:rsidRDefault="009C2C0E" w:rsidP="009C2C0E">
            <w:pPr>
              <w:pStyle w:val="table10"/>
              <w:ind w:right="-46"/>
              <w:rPr>
                <w:lang w:val="be-BY"/>
              </w:rPr>
            </w:pPr>
            <w:r w:rsidRPr="00661350">
              <w:rPr>
                <w:lang w:val="be-BY"/>
              </w:rPr>
              <w:t>служит для фиксации стоек и держателей на оптическом столе, зажимная вилка фиксируется невыпадающим винтом М6, слот длиной 44.8 мм,  количество зажимных вилок в упаковке: 5 штук, материал: нержавеющая сталь</w:t>
            </w:r>
          </w:p>
          <w:p w:rsidR="009C2C0E" w:rsidRDefault="009C2C0E" w:rsidP="009C2C0E">
            <w:pPr>
              <w:pStyle w:val="table10"/>
              <w:ind w:right="-46"/>
              <w:rPr>
                <w:lang w:val="be-BY"/>
              </w:rPr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b/>
                <w:lang w:val="be-BY"/>
              </w:rPr>
            </w:pPr>
            <w:r w:rsidRPr="009C2C0E">
              <w:rPr>
                <w:b/>
                <w:lang w:val="be-BY"/>
              </w:rPr>
              <w:t>Адаптеры Thorlabs BE1/M (10 штук)</w:t>
            </w:r>
          </w:p>
          <w:p w:rsidR="009C2C0E" w:rsidRDefault="009C2C0E" w:rsidP="009C2C0E">
            <w:pPr>
              <w:pStyle w:val="table10"/>
              <w:ind w:right="-46"/>
              <w:rPr>
                <w:lang w:val="be-BY"/>
              </w:rPr>
            </w:pPr>
            <w:r w:rsidRPr="00661350">
              <w:rPr>
                <w:lang w:val="be-BY"/>
              </w:rPr>
              <w:t>внешний диаметр 31.8 мм, в центре имеется штырь сс резьбой М6 для вкручивания стоек и держателей, адаптер совместим с зажимными вилками Thorlabs CF125C/M и CF175C/M, материал: нержавеющая сталь</w:t>
            </w:r>
          </w:p>
          <w:p w:rsidR="009C2C0E" w:rsidRDefault="009C2C0E" w:rsidP="009C2C0E">
            <w:pPr>
              <w:pStyle w:val="table10"/>
              <w:ind w:right="-46"/>
              <w:rPr>
                <w:lang w:val="be-BY"/>
              </w:rPr>
            </w:pPr>
          </w:p>
          <w:p w:rsidR="009C2C0E" w:rsidRPr="009C2C0E" w:rsidRDefault="009C2C0E" w:rsidP="009C2C0E">
            <w:pPr>
              <w:pStyle w:val="table10"/>
              <w:ind w:right="-46"/>
              <w:rPr>
                <w:lang w:val="be-BY"/>
              </w:rPr>
            </w:pPr>
            <w:r w:rsidRPr="00661350">
              <w:rPr>
                <w:lang w:val="be-BY"/>
              </w:rPr>
              <w:t>При заявке аналогичного комплекта держателей, зажимных вилок и адаптеров другого производителя необходимо предоставить сертифицированное подтверждение идентичности заявляемых параметров, состав комплекта должен полностью совпадать с заявленным . Гарантия: не менее 1 года.</w:t>
            </w:r>
          </w:p>
        </w:tc>
      </w:tr>
      <w:tr w:rsidR="009C2C0E" w:rsidRPr="004C30B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Код по ОКРБ 007-2007 (подвид)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4C30B4" w:rsidRDefault="009C2C0E" w:rsidP="009C2C0E">
            <w:pPr>
              <w:rPr>
                <w:bCs/>
                <w:szCs w:val="30"/>
                <w:highlight w:val="yellow"/>
              </w:rPr>
            </w:pPr>
            <w:r w:rsidRPr="009C2C0E">
              <w:t>2</w:t>
            </w:r>
            <w:r>
              <w:t>5</w:t>
            </w:r>
            <w:r w:rsidRPr="009C2C0E">
              <w:t>.</w:t>
            </w:r>
            <w:r>
              <w:t>99</w:t>
            </w:r>
            <w:r w:rsidRPr="009C2C0E">
              <w:t>.2</w:t>
            </w:r>
            <w:r>
              <w:t>9</w:t>
            </w:r>
            <w:r w:rsidRPr="009C2C0E">
              <w:t>.</w:t>
            </w:r>
            <w:r>
              <w:t>5</w:t>
            </w:r>
            <w:r w:rsidRPr="009C2C0E">
              <w:t>00</w:t>
            </w:r>
          </w:p>
        </w:tc>
      </w:tr>
      <w:tr w:rsidR="009C2C0E" w:rsidRPr="00747012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Наименование в соответствии с ОКРБ 007-2007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747012" w:rsidRDefault="009C2C0E" w:rsidP="007774F3">
            <w:r w:rsidRPr="00457CF1">
              <w:rPr>
                <w:noProof/>
                <w:color w:val="000000"/>
              </w:rPr>
              <w:t>Изделия из алюминия или меди, не включенные в другие группировки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  <w:lang w:val="en-US"/>
              </w:rPr>
            </w:pPr>
            <w:r w:rsidRPr="00BE73D4">
              <w:rPr>
                <w:bCs/>
                <w:color w:val="000000"/>
              </w:rPr>
              <w:t>Объем (количество)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>
              <w:rPr>
                <w:bCs/>
              </w:rPr>
              <w:t>22 (1 комплект)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>
              <w:rPr>
                <w:bCs/>
              </w:rPr>
              <w:t>3-</w:t>
            </w:r>
            <w:r w:rsidRPr="00565E81">
              <w:rPr>
                <w:bCs/>
              </w:rPr>
              <w:t>4 кв. 201</w:t>
            </w:r>
            <w:r>
              <w:rPr>
                <w:bCs/>
              </w:rPr>
              <w:t>6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Место поставки товаров (выполнения работ,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 w:rsidRPr="00BE73D4">
              <w:rPr>
                <w:bCs/>
              </w:rPr>
              <w:t>для резидентов РБ – склад Заказчика; для нерезидентов РБ на условиях – Инкотермс-2010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Ориентировочная стоимость государственной закупки по лоту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Источник финансирования государственной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  <w:r>
              <w:rPr>
                <w:bCs/>
              </w:rPr>
              <w:t>Республиканский бюджет</w:t>
            </w:r>
          </w:p>
        </w:tc>
      </w:tr>
      <w:tr w:rsidR="009C2C0E" w:rsidRPr="00BE73D4" w:rsidTr="007774F3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Примечание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BE73D4" w:rsidRDefault="009C2C0E" w:rsidP="007774F3">
            <w:pPr>
              <w:rPr>
                <w:bCs/>
              </w:rPr>
            </w:pPr>
          </w:p>
        </w:tc>
      </w:tr>
    </w:tbl>
    <w:p w:rsidR="009C2C0E" w:rsidRDefault="009C2C0E" w:rsidP="008E780E">
      <w:pPr>
        <w:autoSpaceDE w:val="0"/>
        <w:autoSpaceDN w:val="0"/>
        <w:adjustRightInd w:val="0"/>
        <w:rPr>
          <w:b/>
        </w:rPr>
      </w:pPr>
    </w:p>
    <w:p w:rsidR="001C33C7" w:rsidRPr="002B3287" w:rsidRDefault="001C33C7" w:rsidP="008E780E">
      <w:pPr>
        <w:autoSpaceDE w:val="0"/>
        <w:autoSpaceDN w:val="0"/>
        <w:adjustRightInd w:val="0"/>
        <w:rPr>
          <w:b/>
        </w:rPr>
      </w:pPr>
      <w:r w:rsidRPr="0058568C">
        <w:rPr>
          <w:b/>
          <w:lang w:val="en-US"/>
        </w:rPr>
        <w:t>II</w:t>
      </w:r>
      <w:r w:rsidRPr="0058568C">
        <w:rPr>
          <w:b/>
        </w:rPr>
        <w:t xml:space="preserve">. Срок действия предложения </w:t>
      </w:r>
    </w:p>
    <w:p w:rsidR="001C33C7" w:rsidRPr="0058568C" w:rsidRDefault="00022344" w:rsidP="001C33C7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68C">
        <w:rPr>
          <w:rFonts w:ascii="Times New Roman" w:hAnsi="Times New Roman" w:cs="Times New Roman"/>
          <w:sz w:val="24"/>
          <w:szCs w:val="24"/>
        </w:rPr>
        <w:t>Срок действия предложения исчисляется таким образом, чтобы предложение участника действовало в ходе проведения процедуры электронного аукциона и исполнения договора о государственной закупке</w:t>
      </w:r>
      <w:r w:rsidR="001C33C7" w:rsidRPr="0058568C">
        <w:rPr>
          <w:rFonts w:ascii="Times New Roman" w:hAnsi="Times New Roman" w:cs="Times New Roman"/>
          <w:sz w:val="24"/>
          <w:szCs w:val="24"/>
        </w:rPr>
        <w:t>. Предложение, имеющее более короткий срок действия, будет отклонено как не отвечающее требованиям аукционным документов.</w:t>
      </w:r>
    </w:p>
    <w:p w:rsidR="001C33C7" w:rsidRPr="0058568C" w:rsidRDefault="001C33C7" w:rsidP="008E780E">
      <w:pPr>
        <w:autoSpaceDE w:val="0"/>
        <w:autoSpaceDN w:val="0"/>
        <w:adjustRightInd w:val="0"/>
        <w:jc w:val="both"/>
        <w:rPr>
          <w:b/>
        </w:rPr>
      </w:pPr>
      <w:r w:rsidRPr="0058568C">
        <w:rPr>
          <w:b/>
          <w:lang w:val="en-US"/>
        </w:rPr>
        <w:t>III</w:t>
      </w:r>
      <w:r w:rsidRPr="0058568C">
        <w:rPr>
          <w:b/>
        </w:rPr>
        <w:t>.</w:t>
      </w:r>
      <w:r w:rsidRPr="0058568C">
        <w:rPr>
          <w:b/>
          <w:lang w:val="en-US"/>
        </w:rPr>
        <w:t> </w:t>
      </w:r>
      <w:r w:rsidRPr="0058568C">
        <w:rPr>
          <w:b/>
        </w:rPr>
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</w:r>
    </w:p>
    <w:p w:rsidR="001C33C7" w:rsidRPr="0058568C" w:rsidRDefault="00D00749" w:rsidP="001C33C7">
      <w:pPr>
        <w:autoSpaceDE w:val="0"/>
        <w:autoSpaceDN w:val="0"/>
        <w:adjustRightInd w:val="0"/>
      </w:pPr>
      <w:r w:rsidRPr="0058568C">
        <w:t>__</w:t>
      </w:r>
      <w:r w:rsidRPr="0058568C">
        <w:rPr>
          <w:u w:val="single"/>
        </w:rPr>
        <w:t>Срок предоставления гарантий качества товара не менее 12 месяцев</w:t>
      </w:r>
      <w:r w:rsidRPr="0058568C">
        <w:t xml:space="preserve">___ </w:t>
      </w:r>
    </w:p>
    <w:p w:rsidR="001C33C7" w:rsidRPr="0058568C" w:rsidRDefault="001C33C7" w:rsidP="008E780E">
      <w:pPr>
        <w:autoSpaceDE w:val="0"/>
        <w:autoSpaceDN w:val="0"/>
        <w:adjustRightInd w:val="0"/>
        <w:rPr>
          <w:b/>
        </w:rPr>
      </w:pPr>
      <w:r w:rsidRPr="0058568C">
        <w:rPr>
          <w:b/>
          <w:lang w:val="en-US"/>
        </w:rPr>
        <w:t>IV</w:t>
      </w:r>
      <w:r w:rsidRPr="0058568C">
        <w:rPr>
          <w:b/>
        </w:rPr>
        <w:t xml:space="preserve">. Срок заключения договора о государственной закупке </w:t>
      </w:r>
    </w:p>
    <w:p w:rsidR="001C33C7" w:rsidRPr="0058568C" w:rsidRDefault="001C33C7" w:rsidP="00062114">
      <w:pPr>
        <w:autoSpaceDE w:val="0"/>
        <w:autoSpaceDN w:val="0"/>
        <w:adjustRightInd w:val="0"/>
        <w:ind w:firstLine="709"/>
        <w:jc w:val="both"/>
      </w:pPr>
      <w:r w:rsidRPr="0058568C">
        <w:t xml:space="preserve">Договор между </w:t>
      </w:r>
      <w:r w:rsidR="0058568C" w:rsidRPr="0058568C">
        <w:rPr>
          <w:u w:val="single"/>
        </w:rPr>
        <w:t>Государственным научным учреждением  "Институт физики имени Б.И.Степанова Национальной академии наук Беларуси"</w:t>
      </w:r>
    </w:p>
    <w:p w:rsidR="001C33C7" w:rsidRPr="0058568C" w:rsidRDefault="001C33C7" w:rsidP="0067198F">
      <w:pPr>
        <w:autoSpaceDE w:val="0"/>
        <w:autoSpaceDN w:val="0"/>
        <w:adjustRightInd w:val="0"/>
        <w:ind w:left="2977"/>
        <w:rPr>
          <w:sz w:val="20"/>
          <w:szCs w:val="20"/>
        </w:rPr>
      </w:pPr>
      <w:r w:rsidRPr="0058568C">
        <w:rPr>
          <w:sz w:val="20"/>
          <w:szCs w:val="20"/>
        </w:rPr>
        <w:t>наименование заказчика</w:t>
      </w:r>
    </w:p>
    <w:p w:rsidR="001C33C7" w:rsidRPr="0058568C" w:rsidRDefault="001C33C7" w:rsidP="001C33C7">
      <w:pPr>
        <w:autoSpaceDE w:val="0"/>
        <w:autoSpaceDN w:val="0"/>
        <w:adjustRightInd w:val="0"/>
        <w:jc w:val="both"/>
        <w:rPr>
          <w:vertAlign w:val="superscript"/>
        </w:rPr>
      </w:pPr>
      <w:r w:rsidRPr="0058568C">
        <w:t>и участником-победителем подлежит заключению по истечении десяти рабочих дней, предусмотренных законодательством для обжалования решения о выборе участника-победителя, а если имело место обжалование – после принятия решения по результатам рассмотрения жалобы в течение двадцати календарных  дней.</w:t>
      </w:r>
    </w:p>
    <w:p w:rsidR="001C33C7" w:rsidRPr="0058568C" w:rsidRDefault="001C33C7" w:rsidP="008E780E">
      <w:pPr>
        <w:autoSpaceDE w:val="0"/>
        <w:autoSpaceDN w:val="0"/>
        <w:adjustRightInd w:val="0"/>
        <w:jc w:val="both"/>
        <w:rPr>
          <w:b/>
        </w:rPr>
      </w:pPr>
      <w:r w:rsidRPr="0058568C">
        <w:rPr>
          <w:b/>
          <w:lang w:val="en-US"/>
        </w:rPr>
        <w:t>V</w:t>
      </w:r>
      <w:r w:rsidRPr="0058568C">
        <w:rPr>
          <w:b/>
        </w:rPr>
        <w:t>. Сведения, которые должны содержаться в предложении, требования к оформлению предложения</w:t>
      </w:r>
    </w:p>
    <w:p w:rsidR="001C33C7" w:rsidRPr="0058568C" w:rsidRDefault="001C33C7" w:rsidP="001C33C7">
      <w:pPr>
        <w:autoSpaceDE w:val="0"/>
        <w:autoSpaceDN w:val="0"/>
        <w:adjustRightInd w:val="0"/>
        <w:ind w:firstLine="709"/>
        <w:jc w:val="both"/>
      </w:pPr>
      <w:r w:rsidRPr="0058568C">
        <w:t>Предложение участника должно быть оформлено в виде электронного документа в соответствии с требованиями Закона Республики Беларусь от 13 июля 2012 года «О государственных закупках товаров (работ, услуг)» и с учетом регламента оператора электронной торговой площадки.</w:t>
      </w:r>
    </w:p>
    <w:p w:rsidR="001C33C7" w:rsidRPr="0058568C" w:rsidRDefault="001C33C7" w:rsidP="001C33C7">
      <w:pPr>
        <w:autoSpaceDE w:val="0"/>
        <w:autoSpaceDN w:val="0"/>
        <w:adjustRightInd w:val="0"/>
        <w:ind w:firstLine="709"/>
        <w:jc w:val="both"/>
      </w:pPr>
      <w:r w:rsidRPr="0058568C">
        <w:t>Предложение должно состоять из двух разделов и содержать следующие сведения:</w:t>
      </w:r>
    </w:p>
    <w:p w:rsidR="001C33C7" w:rsidRPr="0058568C" w:rsidRDefault="001C33C7" w:rsidP="001C33C7">
      <w:pPr>
        <w:jc w:val="center"/>
        <w:rPr>
          <w:b/>
        </w:rPr>
      </w:pPr>
      <w:r w:rsidRPr="0058568C">
        <w:rPr>
          <w:b/>
        </w:rPr>
        <w:t>ПРЕДЛОЖЕНИЕ</w:t>
      </w:r>
    </w:p>
    <w:p w:rsidR="001C33C7" w:rsidRPr="0058568C" w:rsidRDefault="001C33C7" w:rsidP="001C33C7">
      <w:pPr>
        <w:jc w:val="center"/>
        <w:rPr>
          <w:b/>
        </w:rPr>
      </w:pPr>
      <w:r w:rsidRPr="0058568C">
        <w:rPr>
          <w:b/>
          <w:bCs/>
        </w:rPr>
        <w:t>РАЗДЕЛ</w:t>
      </w:r>
      <w:r w:rsidRPr="0058568C">
        <w:rPr>
          <w:b/>
        </w:rPr>
        <w:t xml:space="preserve"> I</w:t>
      </w:r>
    </w:p>
    <w:tbl>
      <w:tblPr>
        <w:tblW w:w="98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972"/>
      </w:tblGrid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Вид процедуры закупки </w:t>
            </w:r>
          </w:p>
        </w:tc>
        <w:tc>
          <w:tcPr>
            <w:tcW w:w="4972" w:type="dxa"/>
            <w:hideMark/>
          </w:tcPr>
          <w:p w:rsidR="001C33C7" w:rsidRPr="00C03DC4" w:rsidRDefault="001C33C7" w:rsidP="004A535E">
            <w:pPr>
              <w:rPr>
                <w:szCs w:val="30"/>
              </w:rPr>
            </w:pPr>
            <w:r w:rsidRPr="00C03DC4">
              <w:rPr>
                <w:szCs w:val="30"/>
              </w:rPr>
              <w:t>Электронный аукцион</w:t>
            </w: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4972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9845" w:type="dxa"/>
            <w:gridSpan w:val="2"/>
            <w:hideMark/>
          </w:tcPr>
          <w:p w:rsidR="001C33C7" w:rsidRPr="00C03DC4" w:rsidRDefault="001C33C7" w:rsidP="004A535E">
            <w:pPr>
              <w:ind w:firstLine="720"/>
              <w:jc w:val="center"/>
              <w:rPr>
                <w:b/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Сведения об электронном аукционе</w:t>
            </w:r>
          </w:p>
        </w:tc>
      </w:tr>
      <w:tr w:rsidR="001C33C7" w:rsidRPr="00C03DC4" w:rsidTr="00425B6F">
        <w:trPr>
          <w:trHeight w:val="510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color w:val="000000"/>
                <w:szCs w:val="30"/>
              </w:rPr>
            </w:pPr>
            <w:r w:rsidRPr="00C03DC4">
              <w:rPr>
                <w:bCs/>
                <w:color w:val="000000"/>
                <w:szCs w:val="30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color w:val="000000"/>
                <w:szCs w:val="30"/>
              </w:rPr>
            </w:pPr>
            <w:r w:rsidRPr="00C03DC4">
              <w:rPr>
                <w:bCs/>
                <w:color w:val="000000"/>
                <w:szCs w:val="30"/>
              </w:rPr>
              <w:t>К</w:t>
            </w:r>
            <w:r w:rsidRPr="00C03DC4">
              <w:rPr>
                <w:bCs/>
                <w:szCs w:val="30"/>
              </w:rPr>
              <w:t>раткое наименование предмета государственной закупки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9845" w:type="dxa"/>
            <w:gridSpan w:val="2"/>
            <w:hideMark/>
          </w:tcPr>
          <w:p w:rsidR="001C33C7" w:rsidRPr="00C03DC4" w:rsidRDefault="001C33C7" w:rsidP="004A535E">
            <w:pPr>
              <w:ind w:firstLine="720"/>
              <w:jc w:val="center"/>
              <w:rPr>
                <w:bCs/>
                <w:szCs w:val="30"/>
                <w:lang w:val="en-US"/>
              </w:rPr>
            </w:pPr>
            <w:r w:rsidRPr="00C03DC4">
              <w:rPr>
                <w:b/>
                <w:bCs/>
                <w:szCs w:val="30"/>
              </w:rPr>
              <w:t>Сведения о лотах предложения</w:t>
            </w:r>
            <w:r>
              <w:rPr>
                <w:rStyle w:val="a5"/>
                <w:b/>
                <w:bCs/>
                <w:szCs w:val="30"/>
                <w:lang w:val="en-US"/>
              </w:rPr>
              <w:footnoteReference w:id="1"/>
            </w:r>
          </w:p>
        </w:tc>
      </w:tr>
      <w:tr w:rsidR="001C33C7" w:rsidRPr="00C03DC4" w:rsidTr="00425B6F">
        <w:trPr>
          <w:trHeight w:val="255"/>
        </w:trPr>
        <w:tc>
          <w:tcPr>
            <w:tcW w:w="9845" w:type="dxa"/>
            <w:gridSpan w:val="2"/>
            <w:hideMark/>
          </w:tcPr>
          <w:p w:rsidR="001C33C7" w:rsidRPr="00C03DC4" w:rsidRDefault="001C33C7" w:rsidP="004A535E">
            <w:pPr>
              <w:jc w:val="center"/>
              <w:rPr>
                <w:bCs/>
                <w:szCs w:val="30"/>
              </w:rPr>
            </w:pPr>
            <w:r w:rsidRPr="00C03DC4">
              <w:rPr>
                <w:bCs/>
                <w:color w:val="000000"/>
                <w:szCs w:val="30"/>
              </w:rPr>
              <w:t>Лот №______</w:t>
            </w: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Наименование товаров (работ, услуг)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84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Объем (количество)</w:t>
            </w:r>
          </w:p>
        </w:tc>
        <w:tc>
          <w:tcPr>
            <w:tcW w:w="4972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84"/>
        </w:trPr>
        <w:tc>
          <w:tcPr>
            <w:tcW w:w="4873" w:type="dxa"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510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Место поставки товаров (выполнения работ, оказания услуг)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Ориентировочная стоимость государственной закупки по лоту</w:t>
            </w:r>
            <w:r>
              <w:rPr>
                <w:rStyle w:val="a5"/>
                <w:bCs/>
                <w:szCs w:val="30"/>
              </w:rPr>
              <w:footnoteReference w:id="2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Цена предложения по лоту</w:t>
            </w:r>
            <w:r>
              <w:rPr>
                <w:rStyle w:val="a5"/>
                <w:bCs/>
                <w:szCs w:val="30"/>
              </w:rPr>
              <w:footnoteReference w:id="3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Срок действия предложения</w:t>
            </w:r>
            <w:r w:rsidRPr="00C03DC4">
              <w:rPr>
                <w:bCs/>
                <w:szCs w:val="30"/>
                <w:lang w:val="en-US"/>
              </w:rPr>
              <w:t xml:space="preserve"> </w:t>
            </w:r>
            <w:r w:rsidRPr="00C03DC4">
              <w:rPr>
                <w:bCs/>
                <w:szCs w:val="30"/>
              </w:rPr>
              <w:t>участника</w:t>
            </w:r>
            <w:r>
              <w:rPr>
                <w:rStyle w:val="a5"/>
                <w:bCs/>
                <w:szCs w:val="30"/>
              </w:rPr>
              <w:footnoteReference w:id="4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Применение преференциальной поправки</w:t>
            </w:r>
            <w:r>
              <w:rPr>
                <w:rStyle w:val="a5"/>
                <w:bCs/>
                <w:szCs w:val="30"/>
              </w:rPr>
              <w:footnoteReference w:id="5"/>
            </w:r>
          </w:p>
        </w:tc>
        <w:tc>
          <w:tcPr>
            <w:tcW w:w="4972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Заявление о согласии заключить договор о государственной закупке</w:t>
            </w:r>
            <w:r>
              <w:rPr>
                <w:rStyle w:val="a5"/>
                <w:bCs/>
                <w:szCs w:val="30"/>
              </w:rPr>
              <w:footnoteReference w:id="6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9845" w:type="dxa"/>
            <w:gridSpan w:val="2"/>
          </w:tcPr>
          <w:p w:rsidR="001C33C7" w:rsidRPr="00C03DC4" w:rsidRDefault="001C33C7" w:rsidP="004A535E">
            <w:pPr>
              <w:jc w:val="center"/>
              <w:rPr>
                <w:b/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Сведения об оплате услуг оператора электронной торговой площадки (организатора)</w:t>
            </w: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Размер оплаты услуг оператора электронной торговой площадки</w:t>
            </w:r>
            <w:r>
              <w:rPr>
                <w:rStyle w:val="a5"/>
                <w:bCs/>
                <w:szCs w:val="30"/>
              </w:rPr>
              <w:footnoteReference w:id="7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Валюта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Размер оплаты услуг организатора</w:t>
            </w:r>
            <w:r>
              <w:rPr>
                <w:rStyle w:val="a5"/>
                <w:bCs/>
                <w:szCs w:val="30"/>
                <w:lang w:val="en-US"/>
              </w:rPr>
              <w:footnoteReference w:id="8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Валюта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9845" w:type="dxa"/>
            <w:gridSpan w:val="2"/>
          </w:tcPr>
          <w:p w:rsidR="001C33C7" w:rsidRPr="00C03DC4" w:rsidRDefault="001C33C7" w:rsidP="004A535E">
            <w:pPr>
              <w:jc w:val="center"/>
              <w:rPr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Сведения о требуемом аукционном обеспечении</w:t>
            </w:r>
            <w:r w:rsidRPr="00C03DC4">
              <w:rPr>
                <w:bCs/>
                <w:szCs w:val="30"/>
              </w:rPr>
              <w:t xml:space="preserve"> </w:t>
            </w:r>
            <w:r w:rsidRPr="00C03DC4">
              <w:rPr>
                <w:szCs w:val="30"/>
              </w:rPr>
              <w:t>(при необходимости</w:t>
            </w:r>
            <w:r w:rsidRPr="00C03DC4">
              <w:rPr>
                <w:bCs/>
                <w:szCs w:val="30"/>
              </w:rPr>
              <w:t xml:space="preserve">) </w:t>
            </w: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Размер</w:t>
            </w:r>
            <w:r w:rsidRPr="00C03DC4">
              <w:rPr>
                <w:bCs/>
                <w:szCs w:val="30"/>
                <w:lang w:val="en-US"/>
              </w:rPr>
              <w:t>, %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Сумма 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Валюта 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328"/>
        </w:trPr>
        <w:tc>
          <w:tcPr>
            <w:tcW w:w="9845" w:type="dxa"/>
            <w:gridSpan w:val="2"/>
            <w:hideMark/>
          </w:tcPr>
          <w:p w:rsidR="001C33C7" w:rsidRPr="00C03DC4" w:rsidRDefault="001C33C7" w:rsidP="004A535E">
            <w:pPr>
              <w:ind w:firstLine="720"/>
              <w:jc w:val="center"/>
              <w:rPr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Документы первого раздела предложения</w:t>
            </w:r>
            <w:r w:rsidRPr="00C03DC4">
              <w:rPr>
                <w:bCs/>
                <w:szCs w:val="30"/>
              </w:rPr>
              <w:t xml:space="preserve"> </w:t>
            </w:r>
            <w:r w:rsidRPr="00C03DC4">
              <w:rPr>
                <w:szCs w:val="30"/>
              </w:rPr>
              <w:t>(при необходимости</w:t>
            </w:r>
            <w:r w:rsidRPr="00C03DC4">
              <w:rPr>
                <w:bCs/>
                <w:szCs w:val="30"/>
              </w:rPr>
              <w:t>)</w:t>
            </w:r>
          </w:p>
        </w:tc>
      </w:tr>
      <w:tr w:rsidR="001C33C7" w:rsidRPr="00C03DC4" w:rsidTr="00425B6F">
        <w:trPr>
          <w:trHeight w:val="258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Наименование документа (ов)</w:t>
            </w:r>
            <w:r>
              <w:rPr>
                <w:rStyle w:val="a5"/>
                <w:bCs/>
                <w:szCs w:val="30"/>
              </w:rPr>
              <w:footnoteReference w:id="9"/>
            </w:r>
          </w:p>
        </w:tc>
        <w:tc>
          <w:tcPr>
            <w:tcW w:w="4972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  <w:lang w:val="en-US"/>
              </w:rPr>
            </w:pPr>
          </w:p>
        </w:tc>
      </w:tr>
    </w:tbl>
    <w:p w:rsidR="001C33C7" w:rsidRPr="0058568C" w:rsidRDefault="001C33C7" w:rsidP="001C33C7">
      <w:pPr>
        <w:jc w:val="center"/>
        <w:rPr>
          <w:b/>
          <w:lang w:val="en-US"/>
        </w:rPr>
      </w:pPr>
      <w:r w:rsidRPr="0058568C">
        <w:rPr>
          <w:b/>
          <w:bCs/>
        </w:rPr>
        <w:t>РАЗДЕЛ</w:t>
      </w:r>
      <w:r w:rsidRPr="0058568C">
        <w:rPr>
          <w:b/>
        </w:rPr>
        <w:t xml:space="preserve"> II</w:t>
      </w:r>
    </w:p>
    <w:tbl>
      <w:tblPr>
        <w:tblW w:w="9609" w:type="dxa"/>
        <w:tblInd w:w="95" w:type="dxa"/>
        <w:tblLook w:val="04A0" w:firstRow="1" w:lastRow="0" w:firstColumn="1" w:lastColumn="0" w:noHBand="0" w:noVBand="1"/>
      </w:tblPr>
      <w:tblGrid>
        <w:gridCol w:w="4873"/>
        <w:gridCol w:w="4736"/>
      </w:tblGrid>
      <w:tr w:rsidR="001C33C7" w:rsidRPr="00C03DC4" w:rsidTr="004A535E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jc w:val="center"/>
              <w:rPr>
                <w:b/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Сведения об участнике</w:t>
            </w:r>
          </w:p>
        </w:tc>
      </w:tr>
      <w:tr w:rsidR="001C33C7" w:rsidRPr="00C03DC4" w:rsidTr="004A535E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Полное наименование (для юридического лица) либо фамилия, </w:t>
            </w:r>
            <w:r>
              <w:rPr>
                <w:bCs/>
                <w:szCs w:val="30"/>
              </w:rPr>
              <w:t xml:space="preserve">собственное </w:t>
            </w:r>
            <w:r w:rsidRPr="00C03DC4">
              <w:rPr>
                <w:bCs/>
                <w:szCs w:val="30"/>
              </w:rPr>
              <w:t>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4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 </w:t>
            </w:r>
          </w:p>
        </w:tc>
      </w:tr>
      <w:tr w:rsidR="001C33C7" w:rsidRPr="00C03DC4" w:rsidTr="004A535E">
        <w:trPr>
          <w:trHeight w:val="574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Данные документа, удостоверяющего личность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28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jc w:val="center"/>
              <w:rPr>
                <w:b/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Сведения о контактных лицах</w:t>
            </w:r>
          </w:p>
        </w:tc>
      </w:tr>
      <w:tr w:rsidR="001C33C7" w:rsidRPr="00C03DC4" w:rsidTr="004A535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Фамилия, </w:t>
            </w:r>
            <w:r>
              <w:rPr>
                <w:bCs/>
                <w:szCs w:val="30"/>
              </w:rPr>
              <w:t xml:space="preserve">собственное </w:t>
            </w:r>
            <w:r w:rsidRPr="00C03DC4">
              <w:rPr>
                <w:bCs/>
                <w:szCs w:val="30"/>
              </w:rPr>
              <w:t>имя, отчество (при наличии)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D35B73" w:rsidRDefault="001C33C7" w:rsidP="004A535E">
            <w:pPr>
              <w:rPr>
                <w:bCs/>
                <w:szCs w:val="30"/>
              </w:rPr>
            </w:pPr>
            <w:r w:rsidRPr="00D35B73">
              <w:rPr>
                <w:bCs/>
                <w:szCs w:val="30"/>
              </w:rPr>
              <w:t>Телефон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D35B73" w:rsidRDefault="001C33C7" w:rsidP="004A535E">
            <w:pPr>
              <w:rPr>
                <w:bCs/>
                <w:szCs w:val="30"/>
              </w:rPr>
            </w:pPr>
            <w:r w:rsidRPr="00D35B73">
              <w:rPr>
                <w:bCs/>
                <w:szCs w:val="30"/>
              </w:rPr>
              <w:t>иные сведения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ind w:firstLine="720"/>
              <w:jc w:val="center"/>
              <w:rPr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Документы второго раздела предложения</w:t>
            </w:r>
          </w:p>
        </w:tc>
      </w:tr>
      <w:tr w:rsidR="001C33C7" w:rsidRPr="00C03DC4" w:rsidTr="004A535E">
        <w:trPr>
          <w:trHeight w:val="49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Наименование документа (ов), подтверждающих соответствие участника требованиям к составу участников и, при необходимости, квалификационным данным участника, иных документов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</w:tbl>
    <w:p w:rsidR="001C33C7" w:rsidRPr="0058568C" w:rsidRDefault="001C33C7" w:rsidP="001C33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8C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1020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985"/>
        <w:gridCol w:w="1701"/>
        <w:gridCol w:w="1417"/>
        <w:gridCol w:w="992"/>
        <w:gridCol w:w="1560"/>
        <w:gridCol w:w="1275"/>
      </w:tblGrid>
      <w:tr w:rsidR="001C33C7" w:rsidRPr="00192B5B" w:rsidTr="004A535E">
        <w:trPr>
          <w:jc w:val="center"/>
        </w:trPr>
        <w:tc>
          <w:tcPr>
            <w:tcW w:w="425" w:type="dxa"/>
            <w:shd w:val="clear" w:color="auto" w:fill="auto"/>
            <w:hideMark/>
          </w:tcPr>
          <w:p w:rsidR="001C33C7" w:rsidRPr="00192B5B" w:rsidRDefault="001C33C7" w:rsidP="004A535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№</w:t>
            </w:r>
          </w:p>
          <w:p w:rsidR="001C33C7" w:rsidRPr="00192B5B" w:rsidRDefault="001C33C7" w:rsidP="004A535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п/п</w:t>
            </w:r>
          </w:p>
        </w:tc>
        <w:tc>
          <w:tcPr>
            <w:tcW w:w="851" w:type="dxa"/>
            <w:shd w:val="clear" w:color="auto" w:fill="auto"/>
          </w:tcPr>
          <w:p w:rsidR="001C33C7" w:rsidRPr="00192B5B" w:rsidRDefault="001C33C7" w:rsidP="004A535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Номер</w:t>
            </w:r>
            <w:r w:rsidRPr="00192B5B">
              <w:br/>
              <w:t>лота</w:t>
            </w:r>
          </w:p>
        </w:tc>
        <w:tc>
          <w:tcPr>
            <w:tcW w:w="1985" w:type="dxa"/>
            <w:shd w:val="clear" w:color="auto" w:fill="auto"/>
            <w:hideMark/>
          </w:tcPr>
          <w:p w:rsidR="001C33C7" w:rsidRPr="00192B5B" w:rsidRDefault="001C33C7" w:rsidP="004A535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Наименование предлагаемых товаров (работ, услуг)</w:t>
            </w:r>
          </w:p>
          <w:p w:rsidR="001C33C7" w:rsidRPr="00192B5B" w:rsidRDefault="001C33C7" w:rsidP="004A535E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701" w:type="dxa"/>
            <w:shd w:val="clear" w:color="auto" w:fill="auto"/>
            <w:hideMark/>
          </w:tcPr>
          <w:p w:rsidR="001C33C7" w:rsidRPr="00192B5B" w:rsidRDefault="001C33C7" w:rsidP="004A535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Описание предлагаемых товаров (работ, услуг)</w:t>
            </w:r>
          </w:p>
        </w:tc>
        <w:tc>
          <w:tcPr>
            <w:tcW w:w="1417" w:type="dxa"/>
            <w:shd w:val="clear" w:color="auto" w:fill="auto"/>
            <w:hideMark/>
          </w:tcPr>
          <w:p w:rsidR="001C33C7" w:rsidRPr="00192B5B" w:rsidRDefault="001C33C7" w:rsidP="004A535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Страна происхож</w:t>
            </w:r>
            <w:r>
              <w:t>-</w:t>
            </w:r>
            <w:r w:rsidRPr="00192B5B">
              <w:t>дения товаров (работ,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1C33C7" w:rsidRPr="00192B5B" w:rsidRDefault="001C33C7" w:rsidP="004A535E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Объ</w:t>
            </w:r>
            <w:r w:rsidRPr="00192B5B">
              <w:t>ем (кол-во), ед.</w:t>
            </w:r>
            <w:r>
              <w:t xml:space="preserve"> </w:t>
            </w:r>
            <w:r w:rsidRPr="00192B5B">
              <w:t>изм.</w:t>
            </w:r>
          </w:p>
        </w:tc>
        <w:tc>
          <w:tcPr>
            <w:tcW w:w="1560" w:type="dxa"/>
            <w:shd w:val="clear" w:color="auto" w:fill="auto"/>
          </w:tcPr>
          <w:p w:rsidR="001C33C7" w:rsidRPr="00192B5B" w:rsidRDefault="001C33C7" w:rsidP="004A535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Цена единицы, условия поставки товаров (выполнения работ, оказания услуг), валюта платежа</w:t>
            </w:r>
          </w:p>
        </w:tc>
        <w:tc>
          <w:tcPr>
            <w:tcW w:w="1275" w:type="dxa"/>
            <w:shd w:val="clear" w:color="auto" w:fill="auto"/>
          </w:tcPr>
          <w:p w:rsidR="001C33C7" w:rsidRPr="00192B5B" w:rsidRDefault="001C33C7" w:rsidP="004A535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Общая стоимость товаров (работ, услуг)</w:t>
            </w:r>
          </w:p>
        </w:tc>
      </w:tr>
      <w:tr w:rsidR="00062114" w:rsidRPr="00192B5B" w:rsidTr="004A535E">
        <w:trPr>
          <w:jc w:val="center"/>
        </w:trPr>
        <w:tc>
          <w:tcPr>
            <w:tcW w:w="425" w:type="dxa"/>
            <w:shd w:val="clear" w:color="auto" w:fill="auto"/>
          </w:tcPr>
          <w:p w:rsidR="00062114" w:rsidRPr="00B62670" w:rsidRDefault="00062114" w:rsidP="007B62E1">
            <w:pPr>
              <w:pStyle w:val="table10"/>
              <w:jc w:val="center"/>
            </w:pPr>
            <w:r w:rsidRPr="00B62670">
              <w:t>1</w:t>
            </w:r>
          </w:p>
        </w:tc>
        <w:tc>
          <w:tcPr>
            <w:tcW w:w="851" w:type="dxa"/>
            <w:shd w:val="clear" w:color="auto" w:fill="auto"/>
          </w:tcPr>
          <w:p w:rsidR="00062114" w:rsidRPr="00B62670" w:rsidRDefault="00062114" w:rsidP="007B62E1">
            <w:pPr>
              <w:pStyle w:val="table10"/>
            </w:pPr>
          </w:p>
        </w:tc>
        <w:tc>
          <w:tcPr>
            <w:tcW w:w="1985" w:type="dxa"/>
            <w:shd w:val="clear" w:color="auto" w:fill="auto"/>
          </w:tcPr>
          <w:p w:rsidR="00062114" w:rsidRPr="00B62670" w:rsidRDefault="00062114" w:rsidP="007B62E1">
            <w:pPr>
              <w:pStyle w:val="table10"/>
            </w:pPr>
          </w:p>
        </w:tc>
        <w:tc>
          <w:tcPr>
            <w:tcW w:w="1701" w:type="dxa"/>
            <w:shd w:val="clear" w:color="auto" w:fill="auto"/>
          </w:tcPr>
          <w:p w:rsidR="00062114" w:rsidRPr="00B62670" w:rsidRDefault="00062114" w:rsidP="00AC70F5">
            <w:pPr>
              <w:pStyle w:val="table10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062114" w:rsidRPr="00B62670" w:rsidRDefault="00062114" w:rsidP="007B62E1">
            <w:pPr>
              <w:pStyle w:val="table10"/>
              <w:rPr>
                <w:lang w:val="be-BY"/>
              </w:rPr>
            </w:pPr>
          </w:p>
        </w:tc>
        <w:tc>
          <w:tcPr>
            <w:tcW w:w="992" w:type="dxa"/>
            <w:shd w:val="clear" w:color="auto" w:fill="auto"/>
          </w:tcPr>
          <w:p w:rsidR="00062114" w:rsidRPr="00B62670" w:rsidRDefault="00062114" w:rsidP="007B62E1">
            <w:pPr>
              <w:pStyle w:val="table10"/>
              <w:rPr>
                <w:lang w:val="be-BY"/>
              </w:rPr>
            </w:pPr>
          </w:p>
        </w:tc>
        <w:tc>
          <w:tcPr>
            <w:tcW w:w="1560" w:type="dxa"/>
            <w:shd w:val="clear" w:color="auto" w:fill="auto"/>
          </w:tcPr>
          <w:p w:rsidR="00062114" w:rsidRPr="00B62670" w:rsidRDefault="00062114" w:rsidP="007B62E1">
            <w:pPr>
              <w:pStyle w:val="table10"/>
              <w:jc w:val="center"/>
              <w:rPr>
                <w:lang w:val="be-BY"/>
              </w:rPr>
            </w:pPr>
          </w:p>
        </w:tc>
        <w:tc>
          <w:tcPr>
            <w:tcW w:w="1275" w:type="dxa"/>
            <w:shd w:val="clear" w:color="auto" w:fill="auto"/>
          </w:tcPr>
          <w:p w:rsidR="00062114" w:rsidRPr="00B62670" w:rsidRDefault="00062114" w:rsidP="00062114">
            <w:pPr>
              <w:pStyle w:val="table10"/>
              <w:jc w:val="center"/>
            </w:pPr>
          </w:p>
        </w:tc>
      </w:tr>
    </w:tbl>
    <w:p w:rsidR="001C33C7" w:rsidRPr="0058568C" w:rsidRDefault="001C33C7" w:rsidP="008E780E">
      <w:pPr>
        <w:rPr>
          <w:b/>
        </w:rPr>
      </w:pPr>
      <w:r w:rsidRPr="0058568C">
        <w:rPr>
          <w:b/>
          <w:lang w:val="en-US"/>
        </w:rPr>
        <w:t>VI</w:t>
      </w:r>
      <w:r w:rsidRPr="0058568C">
        <w:rPr>
          <w:b/>
        </w:rPr>
        <w:t>. Порядок разъяснения аукционных документов</w:t>
      </w:r>
    </w:p>
    <w:p w:rsidR="0058568C" w:rsidRPr="0058568C" w:rsidRDefault="001C33C7" w:rsidP="0058568C">
      <w:pPr>
        <w:ind w:firstLine="708"/>
        <w:jc w:val="both"/>
      </w:pPr>
      <w:r w:rsidRPr="0058568C">
        <w:t xml:space="preserve">Участник электронного аукциона, любое юридическое или физическое лицо, в том числе индивидуальный предприниматель, не позднее пяти рабочих дней до истечения срока для подготовки и подачи предложений вправе обратиться к </w:t>
      </w:r>
      <w:r w:rsidR="0058568C" w:rsidRPr="0058568C">
        <w:t xml:space="preserve">конкурсной комиссии </w:t>
      </w:r>
      <w:r w:rsidR="0058568C" w:rsidRPr="0058568C">
        <w:rPr>
          <w:u w:val="single"/>
        </w:rPr>
        <w:t xml:space="preserve">Института физики НАН Беларуси </w:t>
      </w:r>
      <w:r w:rsidR="0058568C" w:rsidRPr="0058568C">
        <w:t>с запросом о разъяснении аукционных документов.</w:t>
      </w:r>
    </w:p>
    <w:p w:rsidR="001C33C7" w:rsidRPr="0058568C" w:rsidRDefault="0058568C" w:rsidP="0058568C">
      <w:pPr>
        <w:ind w:firstLine="708"/>
        <w:jc w:val="both"/>
      </w:pPr>
      <w:r w:rsidRPr="0058568C">
        <w:rPr>
          <w:u w:val="single"/>
        </w:rPr>
        <w:t>Институт физики НАН Беларуси</w:t>
      </w:r>
      <w:r w:rsidR="001C33C7" w:rsidRPr="0058568C">
        <w:t xml:space="preserve"> не позднее чем за три рабочих дня до истечения срока для подготовки и подачи предложений размещает в открытом доступе на электронной торговой площадке содержание запроса о разъяснении аукционных документов и ответ на него (без указания лица, направившего запрос).</w:t>
      </w:r>
    </w:p>
    <w:p w:rsidR="001C33C7" w:rsidRPr="0058568C" w:rsidRDefault="001C33C7" w:rsidP="008E780E">
      <w:pPr>
        <w:jc w:val="both"/>
        <w:rPr>
          <w:b/>
        </w:rPr>
      </w:pPr>
      <w:r w:rsidRPr="0058568C">
        <w:rPr>
          <w:b/>
          <w:lang w:val="en-US"/>
        </w:rPr>
        <w:t>VII</w:t>
      </w:r>
      <w:r w:rsidRPr="0058568C">
        <w:rPr>
          <w:b/>
        </w:rPr>
        <w:t>. Акты законодательства о государственных закупках, в соответствии с которыми проводится процедура государственной закупки</w:t>
      </w:r>
    </w:p>
    <w:p w:rsidR="001C33C7" w:rsidRPr="0058568C" w:rsidRDefault="001C33C7" w:rsidP="001C33C7">
      <w:pPr>
        <w:ind w:firstLine="709"/>
        <w:jc w:val="both"/>
      </w:pPr>
      <w:r w:rsidRPr="0058568C">
        <w:t>Настоящий электронный аукцион проводится в соответствии с порядком, установленным Законом Республики Беларусь от 13 июля 2012 года «О государственных закупках товаров (работ, услуг)».</w:t>
      </w:r>
    </w:p>
    <w:p w:rsidR="001C33C7" w:rsidRPr="0058568C" w:rsidRDefault="00516BB7" w:rsidP="008E780E">
      <w:pPr>
        <w:autoSpaceDE w:val="0"/>
        <w:autoSpaceDN w:val="0"/>
        <w:adjustRightInd w:val="0"/>
        <w:rPr>
          <w:b/>
          <w:lang w:eastAsia="en-US"/>
        </w:rPr>
      </w:pPr>
      <w:r w:rsidRPr="0058568C">
        <w:rPr>
          <w:b/>
          <w:lang w:val="en-US"/>
        </w:rPr>
        <w:t>VII</w:t>
      </w:r>
      <w:r w:rsidR="001C33C7" w:rsidRPr="0058568C">
        <w:rPr>
          <w:b/>
          <w:lang w:val="en-US" w:eastAsia="en-US"/>
        </w:rPr>
        <w:t>I</w:t>
      </w:r>
      <w:r w:rsidR="001C33C7" w:rsidRPr="0058568C">
        <w:rPr>
          <w:b/>
          <w:lang w:eastAsia="en-US"/>
        </w:rPr>
        <w:t>. Договор</w:t>
      </w:r>
    </w:p>
    <w:p w:rsidR="00565E81" w:rsidRPr="000456A5" w:rsidRDefault="0058568C" w:rsidP="00565E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56A5">
        <w:rPr>
          <w:lang w:eastAsia="en-US"/>
        </w:rPr>
        <w:t>Проект договора, разработанный заказчиком в соответствии с требованиями законодательства и особенностями предмета закупки, включая требования к участнику о представлении им документов, подтверждающих законность ввоза товаров на таможенную территорию Республики Беларусь (таможенные, статистические декларации) в прилагаемом файле</w:t>
      </w:r>
      <w:r>
        <w:rPr>
          <w:lang w:eastAsia="en-US"/>
        </w:rPr>
        <w:t>.</w:t>
      </w:r>
      <w:r w:rsidR="00565E81" w:rsidRPr="00565E81">
        <w:rPr>
          <w:lang w:eastAsia="en-US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734"/>
        <w:gridCol w:w="2324"/>
      </w:tblGrid>
      <w:tr w:rsidR="00565E81" w:rsidTr="00470862">
        <w:trPr>
          <w:trHeight w:val="240"/>
        </w:trPr>
        <w:tc>
          <w:tcPr>
            <w:tcW w:w="3580" w:type="dxa"/>
          </w:tcPr>
          <w:p w:rsidR="00565E81" w:rsidRDefault="00565E81" w:rsidP="00C7511C">
            <w:pPr>
              <w:pStyle w:val="newncpi0"/>
              <w:jc w:val="left"/>
            </w:pPr>
            <w:r>
              <w:t>_</w:t>
            </w:r>
            <w:r w:rsidR="004C30B4">
              <w:rPr>
                <w:u w:val="single"/>
              </w:rPr>
              <w:t xml:space="preserve">Заведующий </w:t>
            </w:r>
            <w:r w:rsidR="00C7511C">
              <w:rPr>
                <w:u w:val="single"/>
              </w:rPr>
              <w:t>ЛЛТТ</w:t>
            </w:r>
            <w:r>
              <w:t>__</w:t>
            </w:r>
          </w:p>
        </w:tc>
        <w:tc>
          <w:tcPr>
            <w:tcW w:w="3734" w:type="dxa"/>
            <w:vAlign w:val="bottom"/>
          </w:tcPr>
          <w:p w:rsidR="00565E81" w:rsidRDefault="00565E81" w:rsidP="00470862">
            <w:pPr>
              <w:pStyle w:val="newncpi0"/>
              <w:jc w:val="center"/>
            </w:pPr>
            <w:r>
              <w:t>___________________________</w:t>
            </w:r>
          </w:p>
        </w:tc>
        <w:tc>
          <w:tcPr>
            <w:tcW w:w="2324" w:type="dxa"/>
            <w:vAlign w:val="bottom"/>
          </w:tcPr>
          <w:p w:rsidR="00565E81" w:rsidRDefault="00565E81" w:rsidP="00C7511C">
            <w:pPr>
              <w:pStyle w:val="newncpi0"/>
              <w:jc w:val="center"/>
            </w:pPr>
            <w:r>
              <w:t>__</w:t>
            </w:r>
            <w:r w:rsidR="00C7511C">
              <w:rPr>
                <w:u w:val="single"/>
              </w:rPr>
              <w:t>Г.И. Рябцев</w:t>
            </w:r>
            <w:r>
              <w:t>_</w:t>
            </w:r>
          </w:p>
        </w:tc>
      </w:tr>
      <w:tr w:rsidR="00565E81" w:rsidTr="00470862">
        <w:trPr>
          <w:trHeight w:val="240"/>
        </w:trPr>
        <w:tc>
          <w:tcPr>
            <w:tcW w:w="3580" w:type="dxa"/>
          </w:tcPr>
          <w:p w:rsidR="00565E81" w:rsidRDefault="00565E81" w:rsidP="00470862">
            <w:pPr>
              <w:pStyle w:val="undline"/>
              <w:ind w:firstLine="840"/>
            </w:pPr>
            <w:r>
              <w:t>(должность)</w:t>
            </w:r>
          </w:p>
        </w:tc>
        <w:tc>
          <w:tcPr>
            <w:tcW w:w="3734" w:type="dxa"/>
          </w:tcPr>
          <w:p w:rsidR="00565E81" w:rsidRDefault="00565E81" w:rsidP="00470862">
            <w:pPr>
              <w:pStyle w:val="undline"/>
              <w:jc w:val="center"/>
            </w:pPr>
            <w:r>
              <w:t>(подпись ответственного исполнителя)</w:t>
            </w:r>
          </w:p>
        </w:tc>
        <w:tc>
          <w:tcPr>
            <w:tcW w:w="2324" w:type="dxa"/>
          </w:tcPr>
          <w:p w:rsidR="00565E81" w:rsidRDefault="00565E81" w:rsidP="00470862">
            <w:pPr>
              <w:pStyle w:val="undline"/>
              <w:jc w:val="center"/>
            </w:pPr>
            <w:r>
              <w:t>(И.О.Фамилия)</w:t>
            </w:r>
          </w:p>
        </w:tc>
      </w:tr>
    </w:tbl>
    <w:p w:rsidR="00565E81" w:rsidRDefault="00565E81" w:rsidP="00565E81">
      <w:pPr>
        <w:pStyle w:val="newncpi0"/>
        <w:rPr>
          <w:u w:val="single"/>
        </w:rPr>
      </w:pPr>
    </w:p>
    <w:p w:rsidR="00565E81" w:rsidRPr="00BB22C9" w:rsidRDefault="00565E81" w:rsidP="00565E81">
      <w:pPr>
        <w:pStyle w:val="newncpi0"/>
        <w:rPr>
          <w:u w:val="single"/>
        </w:rPr>
      </w:pPr>
      <w:r w:rsidRPr="00BB22C9">
        <w:rPr>
          <w:u w:val="single"/>
        </w:rPr>
        <w:t>«</w:t>
      </w:r>
      <w:r w:rsidR="00C7511C">
        <w:rPr>
          <w:u w:val="single"/>
        </w:rPr>
        <w:t>01</w:t>
      </w:r>
      <w:r w:rsidRPr="00BB22C9">
        <w:rPr>
          <w:u w:val="single"/>
        </w:rPr>
        <w:t xml:space="preserve">» </w:t>
      </w:r>
      <w:r w:rsidR="00C7511C">
        <w:rPr>
          <w:u w:val="single"/>
        </w:rPr>
        <w:t>июля</w:t>
      </w:r>
      <w:r w:rsidRPr="00BB22C9">
        <w:rPr>
          <w:u w:val="single"/>
        </w:rPr>
        <w:t xml:space="preserve"> 201</w:t>
      </w:r>
      <w:r w:rsidR="00C7511C">
        <w:rPr>
          <w:u w:val="single"/>
        </w:rPr>
        <w:t>6</w:t>
      </w:r>
      <w:r w:rsidRPr="00BB22C9">
        <w:rPr>
          <w:u w:val="single"/>
        </w:rPr>
        <w:t xml:space="preserve"> г.</w:t>
      </w:r>
    </w:p>
    <w:p w:rsidR="00565E81" w:rsidRPr="00516BB7" w:rsidRDefault="00565E81" w:rsidP="00565E8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5E81" w:rsidRDefault="00565E81" w:rsidP="00565E81">
      <w:pPr>
        <w:pStyle w:val="newncpi0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Т.П. Шалдина</w:t>
      </w:r>
    </w:p>
    <w:p w:rsidR="00565E81" w:rsidRDefault="00565E81" w:rsidP="00565E81">
      <w:pPr>
        <w:pStyle w:val="newncpi0"/>
      </w:pPr>
    </w:p>
    <w:p w:rsidR="00565E81" w:rsidRDefault="00565E81" w:rsidP="00565E81">
      <w:pPr>
        <w:pStyle w:val="newncpi0"/>
      </w:pPr>
      <w:r>
        <w:t>Согласовано:</w:t>
      </w:r>
    </w:p>
    <w:p w:rsidR="00565E81" w:rsidRDefault="00565E81" w:rsidP="00565E81">
      <w:pPr>
        <w:pStyle w:val="newncpi0"/>
      </w:pPr>
    </w:p>
    <w:p w:rsidR="00565E81" w:rsidRDefault="008D790D" w:rsidP="00565E81">
      <w:pPr>
        <w:pStyle w:val="newncpi0"/>
      </w:pPr>
      <w:r>
        <w:t>Пр</w:t>
      </w:r>
      <w:r w:rsidR="00565E81">
        <w:t>едседател</w:t>
      </w:r>
      <w:r>
        <w:t>ь</w:t>
      </w:r>
      <w:r w:rsidR="00565E81">
        <w:t xml:space="preserve"> конкурсной</w:t>
      </w:r>
    </w:p>
    <w:p w:rsidR="00565E81" w:rsidRDefault="00565E81" w:rsidP="00565E81">
      <w:pPr>
        <w:pStyle w:val="newncpi0"/>
      </w:pPr>
      <w:r>
        <w:t>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11C">
        <w:t>М.В. Бельков</w:t>
      </w:r>
    </w:p>
    <w:p w:rsidR="002B3287" w:rsidRDefault="002B3287" w:rsidP="00565E81">
      <w:pPr>
        <w:autoSpaceDE w:val="0"/>
        <w:autoSpaceDN w:val="0"/>
        <w:adjustRightInd w:val="0"/>
        <w:ind w:firstLine="709"/>
        <w:jc w:val="both"/>
      </w:pPr>
    </w:p>
    <w:sectPr w:rsidR="002B3287" w:rsidSect="00FD726B">
      <w:footnotePr>
        <w:numRestart w:val="eachSect"/>
      </w:footnotePr>
      <w:endnotePr>
        <w:numFmt w:val="decimal"/>
        <w:numRestart w:val="eachSect"/>
      </w:endnotePr>
      <w:pgSz w:w="11906" w:h="16838"/>
      <w:pgMar w:top="709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D9" w:rsidRDefault="00A475D9" w:rsidP="001C33C7">
      <w:r>
        <w:separator/>
      </w:r>
    </w:p>
  </w:endnote>
  <w:endnote w:type="continuationSeparator" w:id="0">
    <w:p w:rsidR="00A475D9" w:rsidRDefault="00A475D9" w:rsidP="001C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D9" w:rsidRDefault="00A475D9" w:rsidP="001C33C7">
      <w:r>
        <w:separator/>
      </w:r>
    </w:p>
  </w:footnote>
  <w:footnote w:type="continuationSeparator" w:id="0">
    <w:p w:rsidR="00A475D9" w:rsidRDefault="00A475D9" w:rsidP="001C33C7">
      <w:r>
        <w:continuationSeparator/>
      </w:r>
    </w:p>
  </w:footnote>
  <w:footnote w:id="1">
    <w:p w:rsidR="001C33C7" w:rsidRPr="0004070E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Указываются сведения о частях (лотах), на которые подается предложение.</w:t>
      </w:r>
    </w:p>
  </w:footnote>
  <w:footnote w:id="2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Если в качестве начальной цены электронного аукциона заказчиком (организатором) указана ориентировочная стоимость государственной закупки.</w:t>
      </w:r>
    </w:p>
  </w:footnote>
  <w:footnote w:id="3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Участник указывает цену предложения по лоту в случае, если начальной ценой электронного аукциона заказчиком (организатором) определена наименьшая цена предложений участников, допущенных к торгам.</w:t>
      </w:r>
    </w:p>
  </w:footnote>
  <w:footnote w:id="4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Срок действия предложения участника должен быть не менее срока, указанного заказчиком (организатором) в аукционных документах.</w:t>
      </w:r>
    </w:p>
  </w:footnote>
  <w:footnote w:id="5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Указывается размер и основание применения преференциальной поправки, в случае если к цене предложения участника применяется преференциальная поправка, установленная законодательством.</w:t>
      </w:r>
    </w:p>
  </w:footnote>
  <w:footnote w:id="6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Подается по форме, определенной регламентом оператора электронной торговой площадки.</w:t>
      </w:r>
    </w:p>
  </w:footnote>
  <w:footnote w:id="7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Услуги оператора электронной торговой площадки по организации и проведению электронных аукционов оплачивают участники электронных аукционов. Размер такой оплаты определяется оператором электронной торговой площадки.</w:t>
      </w:r>
    </w:p>
  </w:footnote>
  <w:footnote w:id="8">
    <w:p w:rsidR="001C33C7" w:rsidRPr="0004070E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Услуги организатора по организации и проведению процедур государственных закупок оплачивают участники и (или) заказчики в соответствии с порядком, установленным государственным органом (организацией), в подчинении (составе, системе) которого находится организатор либо которому переданы в управление акции (доли в уставных фондах) организатора, находящиеся в государственной собственности. Размер такой оплаты определяется организатором.</w:t>
      </w:r>
    </w:p>
  </w:footnote>
  <w:footnote w:id="9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Документы первого раздела могут содержать спецификаци</w:t>
      </w:r>
      <w:r>
        <w:t>и</w:t>
      </w:r>
      <w:r w:rsidRPr="0004070E">
        <w:t>, планы, чертежи и эскизы</w:t>
      </w:r>
      <w:r>
        <w:t xml:space="preserve"> в виде электронных документов</w:t>
      </w:r>
      <w:r w:rsidRPr="0004070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C7"/>
    <w:rsid w:val="00015C4A"/>
    <w:rsid w:val="000214EE"/>
    <w:rsid w:val="00022344"/>
    <w:rsid w:val="000559F8"/>
    <w:rsid w:val="00062114"/>
    <w:rsid w:val="0006405D"/>
    <w:rsid w:val="00095409"/>
    <w:rsid w:val="000B51DA"/>
    <w:rsid w:val="000E4D31"/>
    <w:rsid w:val="00101E61"/>
    <w:rsid w:val="0012199B"/>
    <w:rsid w:val="0016685F"/>
    <w:rsid w:val="00182DD2"/>
    <w:rsid w:val="00193978"/>
    <w:rsid w:val="001A7ED4"/>
    <w:rsid w:val="001C1445"/>
    <w:rsid w:val="001C33C7"/>
    <w:rsid w:val="001D460B"/>
    <w:rsid w:val="001D62A0"/>
    <w:rsid w:val="001F27A9"/>
    <w:rsid w:val="002005A9"/>
    <w:rsid w:val="00201BE6"/>
    <w:rsid w:val="00246BE8"/>
    <w:rsid w:val="0024765B"/>
    <w:rsid w:val="00250B57"/>
    <w:rsid w:val="00252B42"/>
    <w:rsid w:val="002550F5"/>
    <w:rsid w:val="00291217"/>
    <w:rsid w:val="002B3287"/>
    <w:rsid w:val="002D220F"/>
    <w:rsid w:val="003339B2"/>
    <w:rsid w:val="00357624"/>
    <w:rsid w:val="003A656E"/>
    <w:rsid w:val="003C74B9"/>
    <w:rsid w:val="003F00C9"/>
    <w:rsid w:val="00400127"/>
    <w:rsid w:val="00405347"/>
    <w:rsid w:val="00421B13"/>
    <w:rsid w:val="00425B6F"/>
    <w:rsid w:val="004341E7"/>
    <w:rsid w:val="00452CE4"/>
    <w:rsid w:val="004749D2"/>
    <w:rsid w:val="00482CDC"/>
    <w:rsid w:val="004A535E"/>
    <w:rsid w:val="004C30B4"/>
    <w:rsid w:val="004E0EA8"/>
    <w:rsid w:val="004E69AC"/>
    <w:rsid w:val="004E7EE3"/>
    <w:rsid w:val="004F4F32"/>
    <w:rsid w:val="004F58D1"/>
    <w:rsid w:val="005109AA"/>
    <w:rsid w:val="00516BB7"/>
    <w:rsid w:val="005414B0"/>
    <w:rsid w:val="00552146"/>
    <w:rsid w:val="00552FCC"/>
    <w:rsid w:val="005572B7"/>
    <w:rsid w:val="00565E81"/>
    <w:rsid w:val="0058449F"/>
    <w:rsid w:val="0058568C"/>
    <w:rsid w:val="005D2134"/>
    <w:rsid w:val="006168B9"/>
    <w:rsid w:val="006557DE"/>
    <w:rsid w:val="00661D91"/>
    <w:rsid w:val="0067003A"/>
    <w:rsid w:val="00670E81"/>
    <w:rsid w:val="0067198F"/>
    <w:rsid w:val="00681322"/>
    <w:rsid w:val="006B4D86"/>
    <w:rsid w:val="006C07FD"/>
    <w:rsid w:val="006D23D9"/>
    <w:rsid w:val="006E0F16"/>
    <w:rsid w:val="006F0B61"/>
    <w:rsid w:val="006F1018"/>
    <w:rsid w:val="00710234"/>
    <w:rsid w:val="00747012"/>
    <w:rsid w:val="00772D4E"/>
    <w:rsid w:val="00783BF6"/>
    <w:rsid w:val="007929FB"/>
    <w:rsid w:val="007A0C03"/>
    <w:rsid w:val="007B62E1"/>
    <w:rsid w:val="007C6A85"/>
    <w:rsid w:val="00805FB0"/>
    <w:rsid w:val="00805FBC"/>
    <w:rsid w:val="00830E35"/>
    <w:rsid w:val="008442B4"/>
    <w:rsid w:val="00846B86"/>
    <w:rsid w:val="00853058"/>
    <w:rsid w:val="008909BF"/>
    <w:rsid w:val="008B13F7"/>
    <w:rsid w:val="008D790D"/>
    <w:rsid w:val="008E780E"/>
    <w:rsid w:val="009025EA"/>
    <w:rsid w:val="00907967"/>
    <w:rsid w:val="009405BF"/>
    <w:rsid w:val="009448BC"/>
    <w:rsid w:val="00944A7B"/>
    <w:rsid w:val="0095251F"/>
    <w:rsid w:val="00957EC2"/>
    <w:rsid w:val="00964D91"/>
    <w:rsid w:val="00966F39"/>
    <w:rsid w:val="00972B92"/>
    <w:rsid w:val="009730C6"/>
    <w:rsid w:val="00977076"/>
    <w:rsid w:val="009856E0"/>
    <w:rsid w:val="009B6D39"/>
    <w:rsid w:val="009C2C0E"/>
    <w:rsid w:val="009D158B"/>
    <w:rsid w:val="009D1B26"/>
    <w:rsid w:val="009D4B45"/>
    <w:rsid w:val="009F6512"/>
    <w:rsid w:val="009F65F6"/>
    <w:rsid w:val="00A475D9"/>
    <w:rsid w:val="00A52E69"/>
    <w:rsid w:val="00AB1BDB"/>
    <w:rsid w:val="00AC70F5"/>
    <w:rsid w:val="00B138A7"/>
    <w:rsid w:val="00B14BD6"/>
    <w:rsid w:val="00B45C33"/>
    <w:rsid w:val="00B46C8B"/>
    <w:rsid w:val="00BA0D98"/>
    <w:rsid w:val="00BA0E10"/>
    <w:rsid w:val="00BC52F6"/>
    <w:rsid w:val="00BD7C6F"/>
    <w:rsid w:val="00BE73D4"/>
    <w:rsid w:val="00BF597A"/>
    <w:rsid w:val="00C12DEF"/>
    <w:rsid w:val="00C17D2B"/>
    <w:rsid w:val="00C206C3"/>
    <w:rsid w:val="00C33DC2"/>
    <w:rsid w:val="00C37068"/>
    <w:rsid w:val="00C52ADB"/>
    <w:rsid w:val="00C669A6"/>
    <w:rsid w:val="00C7511C"/>
    <w:rsid w:val="00C8517D"/>
    <w:rsid w:val="00C95810"/>
    <w:rsid w:val="00CA17C8"/>
    <w:rsid w:val="00CA5429"/>
    <w:rsid w:val="00CB312D"/>
    <w:rsid w:val="00D00749"/>
    <w:rsid w:val="00D04B55"/>
    <w:rsid w:val="00D20207"/>
    <w:rsid w:val="00D36E09"/>
    <w:rsid w:val="00D41F48"/>
    <w:rsid w:val="00DC06A7"/>
    <w:rsid w:val="00DC4D06"/>
    <w:rsid w:val="00DE3B74"/>
    <w:rsid w:val="00DF13EE"/>
    <w:rsid w:val="00E077BB"/>
    <w:rsid w:val="00E23042"/>
    <w:rsid w:val="00E41833"/>
    <w:rsid w:val="00E51692"/>
    <w:rsid w:val="00E91EA2"/>
    <w:rsid w:val="00E97B06"/>
    <w:rsid w:val="00EB7A14"/>
    <w:rsid w:val="00EC3A62"/>
    <w:rsid w:val="00EE13AF"/>
    <w:rsid w:val="00EF6C38"/>
    <w:rsid w:val="00F34494"/>
    <w:rsid w:val="00FA186F"/>
    <w:rsid w:val="00FA2D4D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33C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1C33C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1C33C7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1C33C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1C33C7"/>
    <w:rPr>
      <w:rFonts w:cs="Times New Roman"/>
      <w:vertAlign w:val="superscript"/>
    </w:rPr>
  </w:style>
  <w:style w:type="character" w:styleId="a6">
    <w:name w:val="Hyperlink"/>
    <w:uiPriority w:val="99"/>
    <w:unhideWhenUsed/>
    <w:rsid w:val="002550F5"/>
    <w:rPr>
      <w:color w:val="0000FF"/>
      <w:u w:val="single"/>
    </w:rPr>
  </w:style>
  <w:style w:type="paragraph" w:customStyle="1" w:styleId="table10">
    <w:name w:val="table10"/>
    <w:basedOn w:val="a"/>
    <w:rsid w:val="00062114"/>
    <w:rPr>
      <w:sz w:val="20"/>
      <w:szCs w:val="20"/>
    </w:rPr>
  </w:style>
  <w:style w:type="paragraph" w:customStyle="1" w:styleId="CharChar1Char1CharChar">
    <w:name w:val="Char Char1 Char1 Char Char"/>
    <w:basedOn w:val="a"/>
    <w:rsid w:val="00022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ewncpi0">
    <w:name w:val="newncpi0"/>
    <w:basedOn w:val="a"/>
    <w:rsid w:val="00516BB7"/>
    <w:pPr>
      <w:jc w:val="both"/>
    </w:pPr>
  </w:style>
  <w:style w:type="paragraph" w:customStyle="1" w:styleId="undline">
    <w:name w:val="undline"/>
    <w:basedOn w:val="a"/>
    <w:rsid w:val="00516BB7"/>
    <w:pPr>
      <w:jc w:val="both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58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F58D1"/>
    <w:rPr>
      <w:rFonts w:ascii="Tahoma" w:eastAsia="Times New Roman" w:hAnsi="Tahoma" w:cs="Tahoma"/>
      <w:sz w:val="16"/>
      <w:szCs w:val="16"/>
    </w:rPr>
  </w:style>
  <w:style w:type="paragraph" w:customStyle="1" w:styleId="newncpi">
    <w:name w:val="newncpi"/>
    <w:basedOn w:val="a"/>
    <w:rsid w:val="002B3287"/>
    <w:pPr>
      <w:ind w:firstLine="567"/>
      <w:jc w:val="both"/>
    </w:pPr>
  </w:style>
  <w:style w:type="character" w:customStyle="1" w:styleId="yui-skin-sam">
    <w:name w:val="yui-skin-sam"/>
    <w:rsid w:val="000E4D31"/>
  </w:style>
  <w:style w:type="paragraph" w:styleId="3">
    <w:name w:val="Body Text Indent 3"/>
    <w:basedOn w:val="a"/>
    <w:link w:val="30"/>
    <w:rsid w:val="009C2C0E"/>
    <w:pPr>
      <w:ind w:firstLine="12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C2C0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33C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1C33C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1C33C7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1C33C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1C33C7"/>
    <w:rPr>
      <w:rFonts w:cs="Times New Roman"/>
      <w:vertAlign w:val="superscript"/>
    </w:rPr>
  </w:style>
  <w:style w:type="character" w:styleId="a6">
    <w:name w:val="Hyperlink"/>
    <w:uiPriority w:val="99"/>
    <w:unhideWhenUsed/>
    <w:rsid w:val="002550F5"/>
    <w:rPr>
      <w:color w:val="0000FF"/>
      <w:u w:val="single"/>
    </w:rPr>
  </w:style>
  <w:style w:type="paragraph" w:customStyle="1" w:styleId="table10">
    <w:name w:val="table10"/>
    <w:basedOn w:val="a"/>
    <w:rsid w:val="00062114"/>
    <w:rPr>
      <w:sz w:val="20"/>
      <w:szCs w:val="20"/>
    </w:rPr>
  </w:style>
  <w:style w:type="paragraph" w:customStyle="1" w:styleId="CharChar1Char1CharChar">
    <w:name w:val="Char Char1 Char1 Char Char"/>
    <w:basedOn w:val="a"/>
    <w:rsid w:val="00022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ewncpi0">
    <w:name w:val="newncpi0"/>
    <w:basedOn w:val="a"/>
    <w:rsid w:val="00516BB7"/>
    <w:pPr>
      <w:jc w:val="both"/>
    </w:pPr>
  </w:style>
  <w:style w:type="paragraph" w:customStyle="1" w:styleId="undline">
    <w:name w:val="undline"/>
    <w:basedOn w:val="a"/>
    <w:rsid w:val="00516BB7"/>
    <w:pPr>
      <w:jc w:val="both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58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F58D1"/>
    <w:rPr>
      <w:rFonts w:ascii="Tahoma" w:eastAsia="Times New Roman" w:hAnsi="Tahoma" w:cs="Tahoma"/>
      <w:sz w:val="16"/>
      <w:szCs w:val="16"/>
    </w:rPr>
  </w:style>
  <w:style w:type="paragraph" w:customStyle="1" w:styleId="newncpi">
    <w:name w:val="newncpi"/>
    <w:basedOn w:val="a"/>
    <w:rsid w:val="002B3287"/>
    <w:pPr>
      <w:ind w:firstLine="567"/>
      <w:jc w:val="both"/>
    </w:pPr>
  </w:style>
  <w:style w:type="character" w:customStyle="1" w:styleId="yui-skin-sam">
    <w:name w:val="yui-skin-sam"/>
    <w:rsid w:val="000E4D31"/>
  </w:style>
  <w:style w:type="paragraph" w:styleId="3">
    <w:name w:val="Body Text Indent 3"/>
    <w:basedOn w:val="a"/>
    <w:link w:val="30"/>
    <w:rsid w:val="009C2C0E"/>
    <w:pPr>
      <w:ind w:firstLine="12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C2C0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haldina@ifanbel.bas-net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f445r3@ai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21099</CharactersWithSpaces>
  <SharedDoc>false</SharedDoc>
  <HLinks>
    <vt:vector size="12" baseType="variant">
      <vt:variant>
        <vt:i4>7536647</vt:i4>
      </vt:variant>
      <vt:variant>
        <vt:i4>3</vt:i4>
      </vt:variant>
      <vt:variant>
        <vt:i4>0</vt:i4>
      </vt:variant>
      <vt:variant>
        <vt:i4>5</vt:i4>
      </vt:variant>
      <vt:variant>
        <vt:lpwstr>mailto:t.shaldina@ifanbel.bas-net.by</vt:lpwstr>
      </vt:variant>
      <vt:variant>
        <vt:lpwstr/>
      </vt:variant>
      <vt:variant>
        <vt:i4>1900603</vt:i4>
      </vt:variant>
      <vt:variant>
        <vt:i4>0</vt:i4>
      </vt:variant>
      <vt:variant>
        <vt:i4>0</vt:i4>
      </vt:variant>
      <vt:variant>
        <vt:i4>5</vt:i4>
      </vt:variant>
      <vt:variant>
        <vt:lpwstr>mailto:ryabtsev@ifanbel.bas-net.by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2016-06-29T06:13:00Z</cp:lastPrinted>
  <dcterms:created xsi:type="dcterms:W3CDTF">2016-07-11T11:29:00Z</dcterms:created>
  <dcterms:modified xsi:type="dcterms:W3CDTF">2016-07-11T11:29:00Z</dcterms:modified>
</cp:coreProperties>
</file>