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35" w:rsidRPr="00BD15C0" w:rsidRDefault="00403135" w:rsidP="007B71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D15C0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BD15C0">
        <w:rPr>
          <w:rFonts w:ascii="Times New Roman" w:hAnsi="Times New Roman"/>
          <w:b/>
          <w:i/>
          <w:sz w:val="24"/>
          <w:szCs w:val="24"/>
        </w:rPr>
        <w:t xml:space="preserve"> к аукционным документам №А3</w:t>
      </w:r>
      <w:r w:rsidR="007B71B8">
        <w:rPr>
          <w:rFonts w:ascii="Times New Roman" w:hAnsi="Times New Roman"/>
          <w:b/>
          <w:i/>
          <w:sz w:val="24"/>
          <w:szCs w:val="24"/>
        </w:rPr>
        <w:t>43</w:t>
      </w:r>
      <w:r w:rsidRPr="00BD15C0">
        <w:rPr>
          <w:rFonts w:ascii="Times New Roman" w:hAnsi="Times New Roman"/>
          <w:b/>
          <w:i/>
          <w:sz w:val="24"/>
          <w:szCs w:val="24"/>
        </w:rPr>
        <w:t>-08/23</w:t>
      </w:r>
      <w:r w:rsidR="003D54F3">
        <w:rPr>
          <w:rFonts w:ascii="Times New Roman" w:hAnsi="Times New Roman"/>
          <w:b/>
          <w:i/>
          <w:sz w:val="24"/>
          <w:szCs w:val="24"/>
        </w:rPr>
        <w:t>2</w:t>
      </w:r>
      <w:bookmarkStart w:id="0" w:name="_GoBack"/>
      <w:bookmarkEnd w:id="0"/>
    </w:p>
    <w:p w:rsidR="00403135" w:rsidRDefault="00403135" w:rsidP="00403135">
      <w:pPr>
        <w:pStyle w:val="ConsNonformat"/>
        <w:widowControl/>
        <w:tabs>
          <w:tab w:val="left" w:pos="12"/>
        </w:tabs>
        <w:ind w:left="-7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71B8" w:rsidRPr="007B71B8" w:rsidRDefault="007B71B8" w:rsidP="007B71B8">
      <w:pPr>
        <w:tabs>
          <w:tab w:val="left" w:pos="12"/>
          <w:tab w:val="left" w:pos="4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1B8">
        <w:rPr>
          <w:rFonts w:ascii="Times New Roman" w:hAnsi="Times New Roman"/>
          <w:b/>
          <w:bCs/>
          <w:sz w:val="28"/>
          <w:szCs w:val="28"/>
        </w:rPr>
        <w:t>Технические характеристики и требования</w:t>
      </w:r>
    </w:p>
    <w:p w:rsidR="00403135" w:rsidRDefault="007B71B8" w:rsidP="007B71B8">
      <w:pPr>
        <w:tabs>
          <w:tab w:val="left" w:pos="12"/>
          <w:tab w:val="left" w:pos="4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1B8">
        <w:rPr>
          <w:rFonts w:ascii="Times New Roman" w:hAnsi="Times New Roman"/>
          <w:b/>
          <w:bCs/>
          <w:sz w:val="28"/>
          <w:szCs w:val="28"/>
        </w:rPr>
        <w:t>стендового оборудования испытания на долговечность</w:t>
      </w:r>
    </w:p>
    <w:p w:rsidR="006A7A8C" w:rsidRDefault="006A7A8C">
      <w:pPr>
        <w:tabs>
          <w:tab w:val="left" w:pos="709"/>
        </w:tabs>
        <w:spacing w:afterLines="80" w:after="192" w:line="168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60" w:type="dxa"/>
        <w:tblCellSpacing w:w="0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6"/>
        <w:gridCol w:w="5064"/>
        <w:gridCol w:w="4530"/>
      </w:tblGrid>
      <w:tr w:rsidR="007B71B8" w:rsidRPr="007B71B8" w:rsidTr="00FC4183">
        <w:trPr>
          <w:trHeight w:val="434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B71B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B71B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7B71B8" w:rsidRPr="007B71B8" w:rsidTr="00FC418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Тип проводимых испытаний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Проведение комплекса испытаний материалов, сборочных узлов и элементов продукции ОАО «</w:t>
            </w:r>
            <w:proofErr w:type="spellStart"/>
            <w:r w:rsidRPr="007B71B8">
              <w:rPr>
                <w:rFonts w:ascii="Times New Roman" w:hAnsi="Times New Roman"/>
                <w:sz w:val="28"/>
                <w:szCs w:val="28"/>
              </w:rPr>
              <w:t>Могилевлифтмаш</w:t>
            </w:r>
            <w:proofErr w:type="spellEnd"/>
            <w:r w:rsidRPr="007B71B8">
              <w:rPr>
                <w:rFonts w:ascii="Times New Roman" w:hAnsi="Times New Roman"/>
                <w:sz w:val="28"/>
                <w:szCs w:val="28"/>
              </w:rPr>
              <w:t>» на усталостную долговечность</w:t>
            </w:r>
          </w:p>
        </w:tc>
      </w:tr>
      <w:tr w:rsidR="007B71B8" w:rsidRPr="007B71B8" w:rsidTr="00FC418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Количество испытательных цилиндров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2 ед.</w:t>
            </w:r>
          </w:p>
        </w:tc>
      </w:tr>
      <w:tr w:rsidR="007B71B8" w:rsidRPr="007B71B8" w:rsidTr="00FC4183">
        <w:trPr>
          <w:trHeight w:val="1096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Количество насосных станций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Не более 2. Должны обеспечивать одновременную работу двух гидроцилиндров (асинхронную) с заданными параметрами.</w:t>
            </w:r>
          </w:p>
        </w:tc>
      </w:tr>
      <w:tr w:rsidR="007B71B8" w:rsidRPr="007B71B8" w:rsidTr="00FC418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Рабочий ход поршня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Не более 250 мм.</w:t>
            </w:r>
          </w:p>
        </w:tc>
      </w:tr>
      <w:tr w:rsidR="007B71B8" w:rsidRPr="007B71B8" w:rsidTr="00FC418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Максимальная статическая нагрузка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+/– 63 кН</w:t>
            </w:r>
          </w:p>
        </w:tc>
      </w:tr>
      <w:tr w:rsidR="007B71B8" w:rsidRPr="007B71B8" w:rsidTr="00FC418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Максимальная динамическая нагрузка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+/– 50 кН</w:t>
            </w:r>
          </w:p>
        </w:tc>
      </w:tr>
      <w:tr w:rsidR="007B71B8" w:rsidRPr="007B71B8" w:rsidTr="00FC4183">
        <w:trPr>
          <w:trHeight w:val="583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Пределы погрешности измерений силы в диапазоне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5-63 кН ±0,5%</w:t>
            </w:r>
          </w:p>
        </w:tc>
      </w:tr>
      <w:tr w:rsidR="007B71B8" w:rsidRPr="007B71B8" w:rsidTr="00FC4183">
        <w:trPr>
          <w:trHeight w:val="588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Пределы погрешности измерений силы в диапазоне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0,5-5 кН ±1%</w:t>
            </w:r>
          </w:p>
        </w:tc>
      </w:tr>
      <w:tr w:rsidR="007B71B8" w:rsidRPr="007B71B8" w:rsidTr="00FC4183">
        <w:trPr>
          <w:trHeight w:val="552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Пределы погрешности измерений перемещения в диапазоне 0-10 мм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±50 мкм</w:t>
            </w:r>
          </w:p>
        </w:tc>
      </w:tr>
      <w:tr w:rsidR="007B71B8" w:rsidRPr="007B71B8" w:rsidTr="00FC4183">
        <w:trPr>
          <w:trHeight w:val="678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Пределы погрешности измерений перемещения в диапазоне свыше 10 мм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±0,5%</w:t>
            </w:r>
          </w:p>
        </w:tc>
      </w:tr>
      <w:tr w:rsidR="007B71B8" w:rsidRPr="007B71B8" w:rsidTr="00FC4183">
        <w:trPr>
          <w:trHeight w:val="829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 xml:space="preserve">Амплитудно-частотные </w:t>
            </w:r>
            <w:proofErr w:type="spellStart"/>
            <w:proofErr w:type="gramStart"/>
            <w:r w:rsidRPr="007B71B8">
              <w:rPr>
                <w:rFonts w:ascii="Times New Roman" w:hAnsi="Times New Roman"/>
                <w:sz w:val="28"/>
                <w:szCs w:val="28"/>
              </w:rPr>
              <w:t>характеристи-ки</w:t>
            </w:r>
            <w:proofErr w:type="spellEnd"/>
            <w:proofErr w:type="gramEnd"/>
            <w:r w:rsidRPr="007B71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– амплитуда 125 мм.</w:t>
            </w:r>
          </w:p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– амплитуда 90 мм.</w:t>
            </w:r>
          </w:p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– амплитуда 1 мм.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частота 0,5 Гц</w:t>
            </w:r>
          </w:p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частота 1 Гц</w:t>
            </w:r>
          </w:p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частота 40 Гц</w:t>
            </w:r>
          </w:p>
        </w:tc>
      </w:tr>
      <w:tr w:rsidR="007B71B8" w:rsidRPr="007B71B8" w:rsidTr="00FC418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Испытываемые материалы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Металлы, стали, пластики и т.д.</w:t>
            </w:r>
          </w:p>
        </w:tc>
      </w:tr>
      <w:tr w:rsidR="007B71B8" w:rsidRPr="007B71B8" w:rsidTr="00FC4183">
        <w:trPr>
          <w:trHeight w:val="298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Рабочее пространство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до (</w:t>
            </w:r>
            <w:proofErr w:type="gramStart"/>
            <w:r w:rsidRPr="007B71B8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7B71B8">
              <w:rPr>
                <w:rFonts w:ascii="Times New Roman" w:hAnsi="Times New Roman"/>
                <w:sz w:val="28"/>
                <w:szCs w:val="28"/>
              </w:rPr>
              <w:t>/Д/В): 1000/1200/1500мм.</w:t>
            </w:r>
          </w:p>
        </w:tc>
      </w:tr>
      <w:tr w:rsidR="007B71B8" w:rsidRPr="007B71B8" w:rsidTr="00FC4183">
        <w:trPr>
          <w:trHeight w:val="537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Минимальная и максимальная высота рабочего пространства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1000-1500м</w:t>
            </w:r>
          </w:p>
        </w:tc>
      </w:tr>
      <w:tr w:rsidR="007B71B8" w:rsidRPr="007B71B8" w:rsidTr="00FC4183">
        <w:trPr>
          <w:trHeight w:val="526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Размеры плиты, на которой крепится стенд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 xml:space="preserve">Плита не более 3000ммх3750ммх350мм (возможно составная) с перекрестными Т-образными пазами шаг 140-250 мм. Размеры Т-образных пазов по ГОСТ 1574-91, </w:t>
            </w:r>
            <w:r w:rsidRPr="007B71B8">
              <w:rPr>
                <w:rFonts w:ascii="Times New Roman" w:hAnsi="Times New Roman"/>
                <w:sz w:val="28"/>
                <w:szCs w:val="28"/>
                <w:lang w:val="en-US"/>
              </w:rPr>
              <w:t>DIN</w:t>
            </w:r>
            <w:r w:rsidRPr="007B71B8">
              <w:rPr>
                <w:rFonts w:ascii="Times New Roman" w:hAnsi="Times New Roman"/>
                <w:sz w:val="28"/>
                <w:szCs w:val="28"/>
              </w:rPr>
              <w:t xml:space="preserve"> 650.</w:t>
            </w:r>
          </w:p>
        </w:tc>
      </w:tr>
      <w:tr w:rsidR="007B71B8" w:rsidRPr="007B71B8" w:rsidTr="00FC4183">
        <w:trPr>
          <w:trHeight w:val="709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 xml:space="preserve">Расстояние от плиты до оси </w:t>
            </w:r>
            <w:proofErr w:type="gramStart"/>
            <w:r w:rsidRPr="007B71B8">
              <w:rPr>
                <w:rFonts w:ascii="Times New Roman" w:hAnsi="Times New Roman"/>
                <w:sz w:val="28"/>
                <w:szCs w:val="28"/>
              </w:rPr>
              <w:t>горизонтального</w:t>
            </w:r>
            <w:proofErr w:type="gramEnd"/>
            <w:r w:rsidRPr="007B7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1B8">
              <w:rPr>
                <w:rFonts w:ascii="Times New Roman" w:hAnsi="Times New Roman"/>
                <w:sz w:val="28"/>
                <w:szCs w:val="28"/>
              </w:rPr>
              <w:t>сервогидроцилиндра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B8" w:rsidRPr="007B71B8" w:rsidRDefault="007B71B8" w:rsidP="007B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B8">
              <w:rPr>
                <w:rFonts w:ascii="Times New Roman" w:hAnsi="Times New Roman"/>
                <w:sz w:val="28"/>
                <w:szCs w:val="28"/>
              </w:rPr>
              <w:t>300-450мм.</w:t>
            </w:r>
          </w:p>
        </w:tc>
      </w:tr>
    </w:tbl>
    <w:p w:rsid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Стенд должен комплектоваться необходимыми расходными материалами, запасными частями в количестве, необходимом для эксплуатации при 3-х сменном режиме на гарантийный срок.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Сменность работы оборудования – 3 смены. Коэффициент загрузки оборудования – 0,7.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 xml:space="preserve">Оборудование предприятия подключается к 3-х фазной электросети переменного тока напряжением 220/380В, 50Гц, с рабочим напряжением 380В, колебанием напряжения в сети +10% -5% и </w:t>
      </w:r>
      <w:proofErr w:type="spellStart"/>
      <w:r w:rsidRPr="007B71B8">
        <w:rPr>
          <w:rFonts w:ascii="Times New Roman" w:hAnsi="Times New Roman"/>
          <w:sz w:val="28"/>
          <w:szCs w:val="28"/>
        </w:rPr>
        <w:t>пневмосети</w:t>
      </w:r>
      <w:proofErr w:type="spellEnd"/>
      <w:r w:rsidRPr="007B71B8">
        <w:rPr>
          <w:rFonts w:ascii="Times New Roman" w:hAnsi="Times New Roman"/>
          <w:sz w:val="28"/>
          <w:szCs w:val="28"/>
        </w:rPr>
        <w:t xml:space="preserve"> с максимальным давлением воздуха в сети 6 </w:t>
      </w:r>
      <w:proofErr w:type="spellStart"/>
      <w:proofErr w:type="gramStart"/>
      <w:r w:rsidRPr="007B71B8">
        <w:rPr>
          <w:rFonts w:ascii="Times New Roman" w:hAnsi="Times New Roman"/>
          <w:sz w:val="28"/>
          <w:szCs w:val="28"/>
        </w:rPr>
        <w:t>атм</w:t>
      </w:r>
      <w:proofErr w:type="spellEnd"/>
      <w:proofErr w:type="gramEnd"/>
      <w:r w:rsidRPr="007B71B8">
        <w:rPr>
          <w:rFonts w:ascii="Times New Roman" w:hAnsi="Times New Roman"/>
          <w:sz w:val="28"/>
          <w:szCs w:val="28"/>
        </w:rPr>
        <w:t xml:space="preserve"> и 5-го класса чистоты по </w:t>
      </w:r>
      <w:r w:rsidRPr="007B71B8">
        <w:rPr>
          <w:rFonts w:ascii="Times New Roman" w:hAnsi="Times New Roman"/>
          <w:sz w:val="28"/>
          <w:szCs w:val="28"/>
          <w:lang w:val="en-US"/>
        </w:rPr>
        <w:t>ISO</w:t>
      </w:r>
      <w:r w:rsidRPr="007B71B8">
        <w:rPr>
          <w:rFonts w:ascii="Times New Roman" w:hAnsi="Times New Roman"/>
          <w:sz w:val="28"/>
          <w:szCs w:val="28"/>
        </w:rPr>
        <w:t xml:space="preserve"> 8573. При необходимости использования более высокого класса чистоты предусмотреть блок подготовки воздуха. Колебание температуры воздуха в испытательном центре (производственном цехе) от +5</w:t>
      </w:r>
      <w:r w:rsidRPr="007B71B8">
        <w:rPr>
          <w:rFonts w:ascii="Times New Roman" w:hAnsi="Times New Roman"/>
          <w:sz w:val="28"/>
          <w:szCs w:val="28"/>
        </w:rPr>
        <w:sym w:font="Symbol" w:char="F0B0"/>
      </w:r>
      <w:r w:rsidRPr="007B71B8">
        <w:rPr>
          <w:rFonts w:ascii="Times New Roman" w:hAnsi="Times New Roman"/>
          <w:sz w:val="28"/>
          <w:szCs w:val="28"/>
        </w:rPr>
        <w:t xml:space="preserve"> до +35</w:t>
      </w:r>
      <w:r w:rsidRPr="007B71B8">
        <w:rPr>
          <w:rFonts w:ascii="Times New Roman" w:hAnsi="Times New Roman"/>
          <w:sz w:val="28"/>
          <w:szCs w:val="28"/>
        </w:rPr>
        <w:sym w:font="Symbol" w:char="F0B0"/>
      </w:r>
      <w:r w:rsidRPr="007B71B8">
        <w:rPr>
          <w:rFonts w:ascii="Times New Roman" w:hAnsi="Times New Roman"/>
          <w:sz w:val="28"/>
          <w:szCs w:val="28"/>
        </w:rPr>
        <w:t>С.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B71B8">
        <w:rPr>
          <w:rFonts w:ascii="Times New Roman" w:hAnsi="Times New Roman"/>
          <w:sz w:val="28"/>
          <w:szCs w:val="28"/>
          <w:lang w:eastAsia="ar-SA"/>
        </w:rPr>
        <w:t>Оборудование должно отвечать требованиям межгосударственного стандарта ГОСТ 12.2.003-91 «Система стандартов безопасности труда. Оборудование производственное. Общие требования безопасности», введённого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1992г. №3 (далее - ГОСТ 12.2.003-91), Гигиеническим требованиям к организации технологических процессов и производственному оборудованию, эксплуатационным документам организаций-изготовителей.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B71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Поставляемый товар должен быть новым (товаром, который не был в употреблении, ремонте, в том </w:t>
      </w:r>
      <w:proofErr w:type="gramStart"/>
      <w:r w:rsidRPr="007B71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числе</w:t>
      </w:r>
      <w:proofErr w:type="gramEnd"/>
      <w:r w:rsidRPr="007B71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rPr>
          <w:rFonts w:ascii="Times New Roman" w:hAnsi="Times New Roman"/>
          <w:sz w:val="28"/>
          <w:szCs w:val="28"/>
          <w:u w:val="single"/>
        </w:rPr>
      </w:pPr>
      <w:r w:rsidRPr="007B71B8">
        <w:rPr>
          <w:rFonts w:ascii="Times New Roman" w:hAnsi="Times New Roman"/>
          <w:sz w:val="28"/>
          <w:szCs w:val="28"/>
        </w:rPr>
        <w:t xml:space="preserve"> </w:t>
      </w:r>
      <w:r w:rsidRPr="007B71B8">
        <w:rPr>
          <w:rFonts w:ascii="Times New Roman" w:hAnsi="Times New Roman"/>
          <w:sz w:val="28"/>
          <w:szCs w:val="28"/>
          <w:u w:val="single"/>
        </w:rPr>
        <w:t>Требования к оборудованию: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7B71B8">
        <w:rPr>
          <w:rFonts w:ascii="Times New Roman" w:hAnsi="Times New Roman"/>
          <w:sz w:val="28"/>
          <w:szCs w:val="28"/>
        </w:rPr>
        <w:t>актуаторы</w:t>
      </w:r>
      <w:proofErr w:type="spellEnd"/>
      <w:r w:rsidRPr="007B71B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B71B8">
        <w:rPr>
          <w:rFonts w:ascii="Times New Roman" w:hAnsi="Times New Roman"/>
          <w:sz w:val="28"/>
          <w:szCs w:val="28"/>
        </w:rPr>
        <w:t>сервогидроцилиндры</w:t>
      </w:r>
      <w:proofErr w:type="spellEnd"/>
      <w:r w:rsidRPr="007B71B8">
        <w:rPr>
          <w:rFonts w:ascii="Times New Roman" w:hAnsi="Times New Roman"/>
          <w:sz w:val="28"/>
          <w:szCs w:val="28"/>
        </w:rPr>
        <w:t>) должны иметь возможность перемещения и съема;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Данное испытательное оборудование должно соответствовать действующим в РБ техническим правовым актам: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7B71B8">
        <w:rPr>
          <w:rFonts w:ascii="Times New Roman" w:hAnsi="Times New Roman"/>
          <w:sz w:val="28"/>
          <w:szCs w:val="28"/>
        </w:rPr>
        <w:t>ТР</w:t>
      </w:r>
      <w:proofErr w:type="gramEnd"/>
      <w:r w:rsidRPr="007B71B8">
        <w:rPr>
          <w:rFonts w:ascii="Times New Roman" w:hAnsi="Times New Roman"/>
          <w:sz w:val="28"/>
          <w:szCs w:val="28"/>
        </w:rPr>
        <w:t xml:space="preserve"> ТС 004/2011 «О безопасности низковольтного оборудования»;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7B71B8">
        <w:rPr>
          <w:rFonts w:ascii="Times New Roman" w:hAnsi="Times New Roman"/>
          <w:sz w:val="28"/>
          <w:szCs w:val="28"/>
        </w:rPr>
        <w:t>ТР</w:t>
      </w:r>
      <w:proofErr w:type="gramEnd"/>
      <w:r w:rsidRPr="007B71B8">
        <w:rPr>
          <w:rFonts w:ascii="Times New Roman" w:hAnsi="Times New Roman"/>
          <w:sz w:val="28"/>
          <w:szCs w:val="28"/>
        </w:rPr>
        <w:t xml:space="preserve"> ТС 020/2011 «Электромагнитная совместимость технических средств»;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7B71B8">
        <w:rPr>
          <w:rFonts w:ascii="Times New Roman" w:hAnsi="Times New Roman"/>
          <w:sz w:val="28"/>
          <w:szCs w:val="28"/>
        </w:rPr>
        <w:t>ТР</w:t>
      </w:r>
      <w:proofErr w:type="gramEnd"/>
      <w:r w:rsidRPr="007B71B8">
        <w:rPr>
          <w:rFonts w:ascii="Times New Roman" w:hAnsi="Times New Roman"/>
          <w:sz w:val="28"/>
          <w:szCs w:val="28"/>
        </w:rPr>
        <w:t xml:space="preserve"> ТС 010/2011 «Безопасность машин и оборудования».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 xml:space="preserve">Стенд должен представлять собой силовую раму, дающую необходимую прочность и жёсткость, для обеспечения силовых и амплитудно-частотных характеристик. На раму должны быть установлены, с использованием крепёжных </w:t>
      </w:r>
      <w:r w:rsidRPr="007B71B8">
        <w:rPr>
          <w:rFonts w:ascii="Times New Roman" w:hAnsi="Times New Roman"/>
          <w:sz w:val="28"/>
          <w:szCs w:val="28"/>
        </w:rPr>
        <w:lastRenderedPageBreak/>
        <w:t xml:space="preserve">элементов, </w:t>
      </w:r>
      <w:proofErr w:type="spellStart"/>
      <w:r w:rsidRPr="007B71B8">
        <w:rPr>
          <w:rFonts w:ascii="Times New Roman" w:hAnsi="Times New Roman"/>
          <w:sz w:val="28"/>
          <w:szCs w:val="28"/>
        </w:rPr>
        <w:t>сервогидроцилиндры</w:t>
      </w:r>
      <w:proofErr w:type="spellEnd"/>
      <w:r w:rsidRPr="007B71B8">
        <w:rPr>
          <w:rFonts w:ascii="Times New Roman" w:hAnsi="Times New Roman"/>
          <w:sz w:val="28"/>
          <w:szCs w:val="28"/>
        </w:rPr>
        <w:t>, схематичное расположение представлено на рисунке 1.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Рис. 1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 wp14:anchorId="3A471132" wp14:editId="536B7425">
            <wp:extent cx="1723390" cy="2063115"/>
            <wp:effectExtent l="0" t="0" r="10160" b="13335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bCs/>
          <w:sz w:val="28"/>
          <w:szCs w:val="28"/>
        </w:rPr>
      </w:pPr>
      <w:r w:rsidRPr="007B71B8">
        <w:rPr>
          <w:rFonts w:ascii="Times New Roman" w:hAnsi="Times New Roman"/>
          <w:bCs/>
          <w:sz w:val="28"/>
          <w:szCs w:val="28"/>
          <w:u w:val="single"/>
        </w:rPr>
        <w:t>Система управления и техническая документация</w:t>
      </w:r>
      <w:r w:rsidRPr="007B71B8">
        <w:rPr>
          <w:rFonts w:ascii="Times New Roman" w:hAnsi="Times New Roman"/>
          <w:bCs/>
          <w:sz w:val="28"/>
          <w:szCs w:val="28"/>
        </w:rPr>
        <w:t>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 xml:space="preserve">Управление должно обеспечивать перемещение траверсы/поршня, управление пневматическими и гидравлическими захватами, управление </w:t>
      </w:r>
      <w:proofErr w:type="gramStart"/>
      <w:r w:rsidRPr="007B71B8">
        <w:rPr>
          <w:rFonts w:ascii="Times New Roman" w:hAnsi="Times New Roman"/>
          <w:sz w:val="28"/>
          <w:szCs w:val="28"/>
        </w:rPr>
        <w:t>автоматическим</w:t>
      </w:r>
      <w:proofErr w:type="gramEnd"/>
      <w:r w:rsidRPr="007B7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1B8">
        <w:rPr>
          <w:rFonts w:ascii="Times New Roman" w:hAnsi="Times New Roman"/>
          <w:sz w:val="28"/>
          <w:szCs w:val="28"/>
        </w:rPr>
        <w:t>экстензометром</w:t>
      </w:r>
      <w:proofErr w:type="spellEnd"/>
      <w:r w:rsidRPr="007B71B8">
        <w:rPr>
          <w:rFonts w:ascii="Times New Roman" w:hAnsi="Times New Roman"/>
          <w:sz w:val="28"/>
          <w:szCs w:val="28"/>
        </w:rPr>
        <w:t>, ввод данных, запуск и остановку испытаний, контроль текущих значений нагрузки, перемещения и т. д. Возможность управления машиной и проведения стандартных испытаний без включения персонального компьютера.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Оснащение: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ЖК-дисплей;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Русскоязычный интерфейс ЖК-дисплея;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Кнопка аварийного отключения;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Ручка точного позиционирования траверсы;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Ручка регулировки скорости перемещения траверсы;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Светодиодная индикация;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Документация: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Паспорт оборудования и руководство по эксплуатации;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Схемы электрические принципиальные;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Схемы расположения электрооборудования;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Каталог запасных частей с номенклатурными (заказными) номерами;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Схема гидравлическая, схема смазки с описанием работы;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Схема пневматическая с описанием работы (при наличии);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Применяемые масла и их аналоги;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Графики технического обслуживания;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Сборочные чертежи узлов.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Архивные копии программ ПК, PLC и терминала, а также все программные и аппаратные (кабель, программатор и т.д.) средства, необходимые для их восстановления;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Инструкции по восстановлению программ PLC и терминала из архивных копий, или инсталляции программ ПК;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Листинг программ контроллера;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Пароли, если они установлены в системе управления;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– Описание параметров, таблица параметров;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lastRenderedPageBreak/>
        <w:t>– Инструкцию по подключению оборудования к заводской информационной сети</w:t>
      </w:r>
      <w:proofErr w:type="gramStart"/>
      <w:r w:rsidRPr="007B71B8">
        <w:rPr>
          <w:rFonts w:ascii="Times New Roman" w:hAnsi="Times New Roman"/>
          <w:sz w:val="28"/>
          <w:szCs w:val="28"/>
        </w:rPr>
        <w:t>.</w:t>
      </w:r>
      <w:proofErr w:type="gramEnd"/>
      <w:r w:rsidRPr="007B71B8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7B71B8">
        <w:rPr>
          <w:rFonts w:ascii="Times New Roman" w:hAnsi="Times New Roman"/>
          <w:sz w:val="28"/>
          <w:szCs w:val="28"/>
        </w:rPr>
        <w:t>з</w:t>
      </w:r>
      <w:proofErr w:type="gramEnd"/>
      <w:r w:rsidRPr="007B71B8">
        <w:rPr>
          <w:rFonts w:ascii="Times New Roman" w:hAnsi="Times New Roman"/>
          <w:sz w:val="28"/>
          <w:szCs w:val="28"/>
        </w:rPr>
        <w:t>адание адресов, масок, спец. программы и т.д.);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- Руководство по устранению неисправностей с описанием всех возможных сообщений об ошибках системы.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Если в системе используется промышленный ПК, программируемый логический контроллер (PLC), программируемый терминал, или привода (инверторы), то это должен быть комплект изделий фирмы “</w:t>
      </w:r>
      <w:r w:rsidRPr="007B71B8">
        <w:rPr>
          <w:rFonts w:ascii="Times New Roman" w:hAnsi="Times New Roman"/>
          <w:sz w:val="28"/>
          <w:szCs w:val="28"/>
          <w:lang w:val="en-US"/>
        </w:rPr>
        <w:t>OMRON</w:t>
      </w:r>
      <w:r w:rsidRPr="007B71B8">
        <w:rPr>
          <w:rFonts w:ascii="Times New Roman" w:hAnsi="Times New Roman"/>
          <w:sz w:val="28"/>
          <w:szCs w:val="28"/>
        </w:rPr>
        <w:t>”, “</w:t>
      </w:r>
      <w:r w:rsidRPr="007B71B8">
        <w:rPr>
          <w:rFonts w:ascii="Times New Roman" w:hAnsi="Times New Roman"/>
          <w:sz w:val="28"/>
          <w:szCs w:val="28"/>
          <w:lang w:val="en-US"/>
        </w:rPr>
        <w:t>Siemens</w:t>
      </w:r>
      <w:r w:rsidRPr="007B71B8">
        <w:rPr>
          <w:rFonts w:ascii="Times New Roman" w:hAnsi="Times New Roman"/>
          <w:sz w:val="28"/>
          <w:szCs w:val="28"/>
        </w:rPr>
        <w:t>”,“</w:t>
      </w:r>
      <w:proofErr w:type="spellStart"/>
      <w:r w:rsidRPr="007B71B8">
        <w:rPr>
          <w:rFonts w:ascii="Times New Roman" w:hAnsi="Times New Roman"/>
          <w:sz w:val="28"/>
          <w:szCs w:val="28"/>
        </w:rPr>
        <w:t>Mitsubishi</w:t>
      </w:r>
      <w:proofErr w:type="spellEnd"/>
      <w:r w:rsidRPr="007B71B8">
        <w:rPr>
          <w:rFonts w:ascii="Times New Roman" w:hAnsi="Times New Roman"/>
          <w:sz w:val="28"/>
          <w:szCs w:val="28"/>
        </w:rPr>
        <w:t>”, или аналогичный. Фирма производитель контроллера, терминала и приводов должна иметь на территории РФ или РБ сервисный центр, обеспечивающий техническую поддержку и поставку комплектующих.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Система управления должна поддерживать диагностику входов выходов и выдавать сообщения об ошибках и неисправностях.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 xml:space="preserve">Стенд должен поддерживать удалённую диагностику и восстановление программного обеспечения. 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Если в установке используются привода, инверторы, программируемые реле, терморегуляторы и т.д., то должны прилагаться соответствующие программы, параметры, аппаратные средства (кабель, программатор и т.д.), а также инструкции по инсталляции в систему.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Все схемы, каталоги, листинги и руководства должны быть предоставлены в цифровом виде (файлы DOC, PDF и т.д.).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>Все схемы, каталоги, листинги (комментарии) и руководства должны быть на русском языке.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 xml:space="preserve">Предложение на закупку должно содержать спецификацию на основные электронные узлы, используемые в стенде (привода, контроллер </w:t>
      </w:r>
      <w:proofErr w:type="gramStart"/>
      <w:r w:rsidRPr="007B71B8">
        <w:rPr>
          <w:rFonts w:ascii="Times New Roman" w:hAnsi="Times New Roman"/>
          <w:sz w:val="28"/>
          <w:szCs w:val="28"/>
        </w:rPr>
        <w:t>электро-автоматики</w:t>
      </w:r>
      <w:proofErr w:type="gramEnd"/>
      <w:r w:rsidRPr="007B71B8">
        <w:rPr>
          <w:rFonts w:ascii="Times New Roman" w:hAnsi="Times New Roman"/>
          <w:sz w:val="28"/>
          <w:szCs w:val="28"/>
        </w:rPr>
        <w:t>, терминал и т.д.).</w:t>
      </w:r>
    </w:p>
    <w:p w:rsid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  <w:r w:rsidRPr="007B71B8">
        <w:rPr>
          <w:rFonts w:ascii="Times New Roman" w:hAnsi="Times New Roman"/>
          <w:sz w:val="28"/>
          <w:szCs w:val="28"/>
        </w:rPr>
        <w:t xml:space="preserve">Все датчики, двигатели, пускатели, провода и </w:t>
      </w:r>
      <w:proofErr w:type="spellStart"/>
      <w:r w:rsidRPr="007B71B8">
        <w:rPr>
          <w:rFonts w:ascii="Times New Roman" w:hAnsi="Times New Roman"/>
          <w:sz w:val="28"/>
          <w:szCs w:val="28"/>
        </w:rPr>
        <w:t>д.р</w:t>
      </w:r>
      <w:proofErr w:type="spellEnd"/>
      <w:r w:rsidRPr="007B71B8">
        <w:rPr>
          <w:rFonts w:ascii="Times New Roman" w:hAnsi="Times New Roman"/>
          <w:sz w:val="28"/>
          <w:szCs w:val="28"/>
        </w:rPr>
        <w:t>. должны быть подписаны согласно схеме.</w:t>
      </w:r>
    </w:p>
    <w:p w:rsid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</w:p>
    <w:p w:rsidR="007B71B8" w:rsidRPr="00EA356B" w:rsidRDefault="007B71B8" w:rsidP="007B71B8">
      <w:pPr>
        <w:ind w:leftChars="-300" w:left="-660" w:firstLineChars="157" w:firstLine="441"/>
        <w:jc w:val="both"/>
        <w:rPr>
          <w:rFonts w:ascii="Times New Roman" w:hAnsi="Times New Roman"/>
          <w:b/>
          <w:sz w:val="28"/>
          <w:szCs w:val="28"/>
        </w:rPr>
      </w:pPr>
      <w:r w:rsidRPr="00EA356B">
        <w:rPr>
          <w:rFonts w:ascii="Times New Roman" w:hAnsi="Times New Roman"/>
          <w:b/>
          <w:sz w:val="28"/>
          <w:szCs w:val="28"/>
        </w:rPr>
        <w:t xml:space="preserve">Гарантийные обязательства: </w:t>
      </w:r>
      <w:r w:rsidR="00486613" w:rsidRPr="00486613">
        <w:rPr>
          <w:rFonts w:ascii="Times New Roman" w:hAnsi="Times New Roman"/>
          <w:b/>
          <w:sz w:val="28"/>
          <w:szCs w:val="28"/>
        </w:rPr>
        <w:t>Га</w:t>
      </w:r>
      <w:r w:rsidR="00486613">
        <w:rPr>
          <w:rFonts w:ascii="Times New Roman" w:hAnsi="Times New Roman"/>
          <w:b/>
          <w:sz w:val="28"/>
          <w:szCs w:val="28"/>
        </w:rPr>
        <w:t>рантийный срок на поставляемый т</w:t>
      </w:r>
      <w:r w:rsidR="00486613" w:rsidRPr="00486613">
        <w:rPr>
          <w:rFonts w:ascii="Times New Roman" w:hAnsi="Times New Roman"/>
          <w:b/>
          <w:sz w:val="28"/>
          <w:szCs w:val="28"/>
        </w:rPr>
        <w:t>овар составляет не менее 24 месяцев с момента подписания Покупателем акта ввода в эксплуатацию.</w:t>
      </w:r>
    </w:p>
    <w:p w:rsidR="007B71B8" w:rsidRPr="007B71B8" w:rsidRDefault="007B71B8" w:rsidP="007B71B8">
      <w:pPr>
        <w:spacing w:after="0" w:line="240" w:lineRule="auto"/>
        <w:ind w:leftChars="-300" w:left="-660" w:firstLineChars="157" w:firstLine="440"/>
        <w:jc w:val="both"/>
        <w:rPr>
          <w:rFonts w:ascii="Times New Roman" w:hAnsi="Times New Roman"/>
          <w:sz w:val="28"/>
          <w:szCs w:val="28"/>
        </w:rPr>
      </w:pPr>
    </w:p>
    <w:p w:rsidR="007B71B8" w:rsidRDefault="007B71B8">
      <w:pPr>
        <w:tabs>
          <w:tab w:val="left" w:pos="709"/>
        </w:tabs>
        <w:spacing w:afterLines="80" w:after="192" w:line="168" w:lineRule="auto"/>
      </w:pPr>
    </w:p>
    <w:sectPr w:rsidR="007B71B8">
      <w:pgSz w:w="11906" w:h="16838"/>
      <w:pgMar w:top="91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9FE1"/>
    <w:multiLevelType w:val="multilevel"/>
    <w:tmpl w:val="17E79FE1"/>
    <w:lvl w:ilvl="0">
      <w:start w:val="1"/>
      <w:numFmt w:val="decimal"/>
      <w:lvlText w:val="%1."/>
      <w:lvlJc w:val="left"/>
      <w:pPr>
        <w:tabs>
          <w:tab w:val="left" w:pos="12"/>
        </w:tabs>
        <w:ind w:left="82"/>
      </w:pPr>
      <w:rPr>
        <w:rFonts w:ascii="Times New Roman" w:eastAsia="SimSu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left" w:pos="420"/>
        </w:tabs>
        <w:ind w:left="0" w:firstLine="0"/>
      </w:pPr>
      <w:rPr>
        <w:rFonts w:ascii="Times New Roman" w:eastAsia="SimSun" w:hAnsi="Times New Roman" w:cs="Times New Roman" w:hint="default"/>
        <w:sz w:val="28"/>
        <w:szCs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left" w:pos="420"/>
        </w:tabs>
        <w:ind w:left="0" w:firstLine="82"/>
      </w:pPr>
      <w:rPr>
        <w:rFonts w:ascii="SimSun" w:eastAsia="SimSun" w:hAnsi="SimSun" w:cs="SimSu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ascii="SimSun" w:eastAsia="SimSun" w:hAnsi="SimSun" w:cs="SimSun"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3ECA7F5C"/>
    <w:multiLevelType w:val="multilevel"/>
    <w:tmpl w:val="3ECA7F5C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BA"/>
    <w:rsid w:val="001C4CEB"/>
    <w:rsid w:val="00294282"/>
    <w:rsid w:val="003B0644"/>
    <w:rsid w:val="003D54F3"/>
    <w:rsid w:val="00403135"/>
    <w:rsid w:val="00486613"/>
    <w:rsid w:val="006A7A8C"/>
    <w:rsid w:val="006C2EBA"/>
    <w:rsid w:val="007B71B8"/>
    <w:rsid w:val="00BB086F"/>
    <w:rsid w:val="00D142E7"/>
    <w:rsid w:val="00DB48DC"/>
    <w:rsid w:val="00E01C8C"/>
    <w:rsid w:val="00F73F0F"/>
    <w:rsid w:val="08F93959"/>
    <w:rsid w:val="0AB6638B"/>
    <w:rsid w:val="0DE77D2A"/>
    <w:rsid w:val="15B63886"/>
    <w:rsid w:val="167C4C4C"/>
    <w:rsid w:val="16A86D48"/>
    <w:rsid w:val="17670541"/>
    <w:rsid w:val="17ED6526"/>
    <w:rsid w:val="1B375103"/>
    <w:rsid w:val="1C75020F"/>
    <w:rsid w:val="294808D3"/>
    <w:rsid w:val="29E02B58"/>
    <w:rsid w:val="2A5E5AAC"/>
    <w:rsid w:val="2A612E6C"/>
    <w:rsid w:val="2A7A6229"/>
    <w:rsid w:val="2B8A29B1"/>
    <w:rsid w:val="2E424497"/>
    <w:rsid w:val="2FD40C63"/>
    <w:rsid w:val="328819EC"/>
    <w:rsid w:val="33AD5BDD"/>
    <w:rsid w:val="37014F53"/>
    <w:rsid w:val="3B104CD1"/>
    <w:rsid w:val="3F113566"/>
    <w:rsid w:val="3F8E5673"/>
    <w:rsid w:val="410B3203"/>
    <w:rsid w:val="41E579FD"/>
    <w:rsid w:val="48534724"/>
    <w:rsid w:val="4B7B200D"/>
    <w:rsid w:val="4E6311BF"/>
    <w:rsid w:val="52C25569"/>
    <w:rsid w:val="53AA3366"/>
    <w:rsid w:val="58667398"/>
    <w:rsid w:val="59035886"/>
    <w:rsid w:val="59B47502"/>
    <w:rsid w:val="5CD21DD1"/>
    <w:rsid w:val="5FC56067"/>
    <w:rsid w:val="62446B90"/>
    <w:rsid w:val="63AA1891"/>
    <w:rsid w:val="64A00AF6"/>
    <w:rsid w:val="67437CE8"/>
    <w:rsid w:val="6A007164"/>
    <w:rsid w:val="6F79128B"/>
    <w:rsid w:val="6FF12B2F"/>
    <w:rsid w:val="7015327D"/>
    <w:rsid w:val="727775A5"/>
    <w:rsid w:val="743C2F43"/>
    <w:rsid w:val="74CB16C7"/>
    <w:rsid w:val="76BF4087"/>
    <w:rsid w:val="77AC1B57"/>
    <w:rsid w:val="7A2A45DD"/>
    <w:rsid w:val="7A570EF5"/>
    <w:rsid w:val="7A883ADC"/>
    <w:rsid w:val="7D4E6E0B"/>
    <w:rsid w:val="7EDA5F21"/>
    <w:rsid w:val="7FD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after="0" w:line="240" w:lineRule="auto"/>
      <w:jc w:val="both"/>
      <w:outlineLvl w:val="2"/>
    </w:pPr>
    <w:rPr>
      <w:rFonts w:eastAsiaTheme="majorEastAsia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ru-RU" w:eastAsia="ru-RU"/>
    </w:rPr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Pr>
      <w:rFonts w:eastAsiaTheme="majorEastAsia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7B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1B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after="0" w:line="240" w:lineRule="auto"/>
      <w:jc w:val="both"/>
      <w:outlineLvl w:val="2"/>
    </w:pPr>
    <w:rPr>
      <w:rFonts w:eastAsiaTheme="majorEastAsia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ru-RU" w:eastAsia="ru-RU"/>
    </w:rPr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Pr>
      <w:rFonts w:eastAsiaTheme="majorEastAsia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7B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1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2023-09-20T14:12:00Z</cp:lastPrinted>
  <dcterms:created xsi:type="dcterms:W3CDTF">2019-09-16T12:21:00Z</dcterms:created>
  <dcterms:modified xsi:type="dcterms:W3CDTF">2023-09-20T14:13:00Z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