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049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049/24-ПЭА «Офтальмологический расходный материал для УЗ «Гродненская университетская клиника», УЗ «Городская клиническая больница № 2 г.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049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18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049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049/24-ПЭА «Офтальмологический расходный материал для УЗ «Гродненская университетская клиника», УЗ «Городская клиническая больница № 2 г.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049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18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049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049/24-ПЭА «Офтальмологический расходный материал для УЗ «Гродненская университетская клиника», УЗ «Городская клиническая больница № 2 г.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049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18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049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049/24-ПЭА «Офтальмологический расходный материал для УЗ «Гродненская университетская клиника», УЗ «Городская клиническая больница № 2 г.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049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18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049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049/24-ПЭА «Офтальмологический расходный материал для УЗ «Гродненская университетская клиника», УЗ «Городская клиническая больница № 2 г.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049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18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