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032/25-ЭА «Игла одноразовая инъекционная стерильная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17 февраля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032/25-ЭА «Игла одноразовая инъекционная стерильная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17 февраля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032/25-ЭА «Игла одноразовая инъекционная стерильная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17 февраля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032/25-ЭА «Игла одноразовая инъекционная стерильная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17 февраля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032/25-ЭА «Игла одноразовая инъекционная стерильная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17 февраля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