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160"/>
        </w:tabs>
        <w:wordWrap w:val="0"/>
        <w:autoSpaceDE w:val="0"/>
        <w:autoSpaceDN w:val="0"/>
        <w:adjustRightInd w:val="0"/>
        <w:spacing w:after="0" w:line="240" w:lineRule="exact"/>
        <w:ind w:left="-709" w:firstLine="567"/>
        <w:jc w:val="right"/>
        <w:rPr>
          <w:rFonts w:hint="default"/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</w:rPr>
        <w:t>Проект договора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z w:val="28"/>
          <w:szCs w:val="28"/>
          <w:shd w:val="clear" w:color="auto" w:fill="FFFFFF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ДОГОВОР  ПОСТАВКИ  №  ___________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b/>
          <w:bCs/>
          <w:sz w:val="28"/>
          <w:szCs w:val="28"/>
          <w:shd w:val="clear" w:color="auto" w:fill="FFFFFF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exact"/>
        <w:ind w:left="-709" w:firstLine="567"/>
        <w:jc w:val="both"/>
      </w:pPr>
      <w:r>
        <w:t>г. Минск                                                                              «____» _____________ 202</w:t>
      </w:r>
      <w:r>
        <w:rPr>
          <w:rFonts w:hint="default"/>
          <w:lang w:val="ru-RU"/>
        </w:rPr>
        <w:t>1</w:t>
      </w:r>
      <w:r>
        <w:t xml:space="preserve"> г.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exact"/>
        <w:ind w:left="-709" w:firstLine="567"/>
        <w:jc w:val="both"/>
      </w:pPr>
    </w:p>
    <w:p>
      <w:pPr>
        <w:pStyle w:val="5"/>
        <w:spacing w:after="0" w:line="240" w:lineRule="exact"/>
        <w:ind w:left="-709" w:firstLine="567"/>
        <w:jc w:val="both"/>
        <w:rPr>
          <w:szCs w:val="24"/>
        </w:rPr>
      </w:pPr>
      <w:r>
        <w:rPr>
          <w:szCs w:val="24"/>
        </w:rPr>
        <w:t>Государственное театрально-зрелищное учреждение «Национальный академический Большой театр оперы и балета Республики Беларусь», именуемое в дальнейшем «</w:t>
      </w:r>
      <w:r>
        <w:t>Покупатель</w:t>
      </w:r>
      <w:r>
        <w:rPr>
          <w:szCs w:val="24"/>
        </w:rPr>
        <w:t>», в лице генерального директора Петровича Александра Евгеньевича, действующего на основании Устава, с одной стороны, и __________________________________________________________, именуемое в дальнейшем «Поставщик», в лице __________________________________________, действующего на основании ________________________, с другой стороны, вместе именуемые «Стороны», заключили настоящий договор о нижеследующем: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 Предмет договора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1.1. Поставщик обязуется поставить, а Покупатель принять и</w:t>
      </w:r>
      <w:r>
        <w:rPr>
          <w:rFonts w:hint="default"/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оплатить товар, наименование, ассортимент, количество и цена которого</w:t>
      </w:r>
      <w:r>
        <w:rPr>
          <w:rFonts w:hint="default"/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согласованы Сторонами в протоколе согласования договорной цены (счет-фактуре) № ______________ от ______________________, являющемся приложением к настоящему договору.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1.2. Цель приобретения товара – для собственного потребления (производства).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 Качество. Комплектность. Упаковка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2.1. Поставляемые товары по качеству должны соответствовать установленным стандартам и ТУ, а также сопровождаться необходимыми документами.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2.2. Поставщик гарантирует соответствие качества поставляемых товаров установленным стандартам. Поставщик гарантирует качество товара в целом, включая составные части, и комплектующие изделия.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Гарантийный срок составляет _____ месяцев. Гарантийный срок на комплектующие изделия и составные части считается равным гарантийному сроку на основное изделие.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2.3. В случае несоответствия поставляемых товаров установленным требованиям,  Покупатель имеет право вернуть их Поставщику за его счет, либо произвести уценку поставленных товаров.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2.4. Поставляемый товар должен быть упакован в тару (упаковку), не подлежащую возврату и обеспечивающую сохранность товара при перевозке и хранении. Расходы по упаковке несет Поставщик.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2.5. Приемка товаров по качеству и количеству осуществляется в соответствии с Положением о приемке товаров по количеству и качеству, утвержденным постановлением Совета Министров Республики Беларусь от 03 сентября 2008 г. № 1290.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 Цена товара и порядок расчетов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3.1. Цена товара определяется в прилагаемом к настоящему договору протоколе согласования договорной цены</w:t>
      </w:r>
      <w:r>
        <w:rPr>
          <w:rFonts w:hint="default"/>
          <w:shd w:val="clear" w:color="auto" w:fill="FFFFFF"/>
          <w:lang w:val="ru-RU"/>
        </w:rPr>
        <w:t xml:space="preserve"> (счет-фактуре)</w:t>
      </w:r>
      <w:r>
        <w:rPr>
          <w:shd w:val="clear" w:color="auto" w:fill="FFFFFF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Расчет с Поставщиком осуществляется в безналичной форме </w:t>
      </w:r>
      <w:r>
        <w:t>по факту поставки, по мере поступления денежных средств на расчетный счет органов казначейства</w:t>
      </w:r>
      <w:r>
        <w:rPr>
          <w:shd w:val="clear" w:color="auto" w:fill="FFFFFF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3.3. Источник финансирования закупки товара – республиканский бюджет.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4. Сроки и порядок поставки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4.1. Поставка товара осуществляется </w:t>
      </w:r>
      <w:r>
        <w:rPr>
          <w:shd w:val="clear" w:color="auto" w:fill="FFFFFF"/>
          <w:lang w:val="ru-RU"/>
        </w:rPr>
        <w:t>до</w:t>
      </w:r>
      <w:r>
        <w:t xml:space="preserve"> </w:t>
      </w:r>
      <w:r>
        <w:rPr>
          <w:rFonts w:hint="default"/>
          <w:lang w:val="ru-RU"/>
        </w:rPr>
        <w:t>25</w:t>
      </w:r>
      <w:r>
        <w:t>.</w:t>
      </w:r>
      <w:r>
        <w:rPr>
          <w:rFonts w:hint="default"/>
          <w:lang w:val="ru-RU"/>
        </w:rPr>
        <w:t>03</w:t>
      </w:r>
      <w:r>
        <w:t>.202</w:t>
      </w:r>
      <w:r>
        <w:rPr>
          <w:rFonts w:hint="default"/>
          <w:lang w:val="ru-RU"/>
        </w:rPr>
        <w:t>1</w:t>
      </w:r>
      <w:r>
        <w:rPr>
          <w:shd w:val="clear" w:color="auto" w:fill="FFFFFF"/>
        </w:rPr>
        <w:t>.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4.2. Доставка товара производится силами и за счет средств Поставщика.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4.3. Датой поставки считается дата подписания соответствующей накладной.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4.4. Поставщик обязан по каждому факту поставки товара, оформленному первичным учетным документом, создать и направить электронный счет-фактуру (далее – ЭСЧФ) на Портал электронных счетов-фактур Министерства по налогам и сборам Республики Беларусь (далее – МНС Республики Беларусь) в порядке, предусмотренном статьей 131 Налогового кодекса Республики Беларусь.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4.5. Покупатель вправе, уведомив Поставщика, отказаться от принятия товара, срок  поставки которого истек. 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Покупатель________________________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>Поставщик_______________________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5. Ответственность сторон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5.1. В случае нарушения срока поставки товара по вине Поставщика он уплачивает пеню в размере 0,1 % от стоимости непоставленного (недопоставленного) товара за каждый день просрочки поставки.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5.2. В случае нарушения срока направления ЭСФЧ либо не направления ЭСЧФ на Портал электронных счетов-фактур МНС Республики Беларусь до 10-го числа месяца, следующего за месяцем поставки товаров, Поставщик уплачивает Покупателю пеню в размере 0,1% от суммы НДС по выставленному с просрочкой либо невыставленному ЭСЧФ, начиная с 11-го числа месяца, следующего за месяцем поставки товара, за каждый день просрочки до даты выставления ЭСЧФ.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 предъявления контролирующими органами к Покупателю санкций в связи с указанием Поставщиком в ЭСФЧ недостоверных сведений, Поставщик возмещает Покупателю сумму причиненного ущерба в течение 10 (десяти)дней с момента получения письменной претензии Покупателя.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5.3. Уплата пени не освобождает Поставщика от исполнения обязательств по исполнению договора.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5.4. Стороны освобождаются от ответственности за частичное или полное  неисполнение обязательств по настоящему договору, если неисполнение явилось следствием форс-мажорных обстоятельств (например, наводнения, пожары, действия третьих лиц и др.).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b/>
          <w:bCs/>
          <w:shd w:val="clear" w:color="auto" w:fill="FFFFFF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6. Заключительные положения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6.1. Договор вступает в силу с момента его заключения и действует до полного исполнения сторонами своих обязательств.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6.2. Изменение условий договора возможно только по обоюдному согласию Сторон и   оформляется дополнительными соглашениями, подписываемыми уполномоченными на то  представителями Сторон, за исключением случаев, предусмотренных настоящим договором и законодательством.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6.3. Настоящий договор составлен в двух экземплярах – по одному для каждой из Сторон.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6.4. Возможные споры между сторонами разрешаются путем переговоров, а при недостижении согласия – в Экономическом суде города Минска. 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6.5. Вопросы, не оговоренные настоящим договором, разрешаются в соответствии с действующим законодательством Республики Беларусь.</w:t>
      </w:r>
    </w:p>
    <w:p>
      <w:pPr>
        <w:widowControl w:val="0"/>
        <w:autoSpaceDE w:val="0"/>
        <w:autoSpaceDN w:val="0"/>
        <w:adjustRightInd w:val="0"/>
        <w:spacing w:after="0" w:line="240" w:lineRule="exact"/>
        <w:ind w:left="-709" w:firstLine="567"/>
        <w:jc w:val="both"/>
        <w:rPr>
          <w:shd w:val="clear" w:color="auto" w:fill="FFFFFF"/>
        </w:rPr>
      </w:pPr>
    </w:p>
    <w:p>
      <w:pPr>
        <w:tabs>
          <w:tab w:val="left" w:pos="6840"/>
        </w:tabs>
        <w:spacing w:after="0" w:line="240" w:lineRule="exact"/>
        <w:ind w:left="-567" w:right="-284"/>
        <w:jc w:val="center"/>
        <w:rPr>
          <w:b/>
          <w:color w:val="000000"/>
          <w:lang w:val="be-BY"/>
        </w:rPr>
      </w:pPr>
      <w:r>
        <w:rPr>
          <w:b/>
          <w:color w:val="000000"/>
          <w:lang w:val="be-BY"/>
        </w:rPr>
        <w:t>7. Реквизиты и подписи Сторон</w:t>
      </w:r>
    </w:p>
    <w:p>
      <w:pPr>
        <w:tabs>
          <w:tab w:val="left" w:pos="6840"/>
        </w:tabs>
        <w:spacing w:after="0" w:line="240" w:lineRule="exact"/>
        <w:ind w:left="-567" w:right="-284"/>
        <w:jc w:val="center"/>
        <w:rPr>
          <w:b/>
          <w:color w:val="000000"/>
          <w:lang w:val="be-BY"/>
        </w:rPr>
      </w:pPr>
    </w:p>
    <w:tbl>
      <w:tblPr>
        <w:tblStyle w:val="8"/>
        <w:tblW w:w="10314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353" w:type="dxa"/>
          </w:tcPr>
          <w:p>
            <w:pPr>
              <w:tabs>
                <w:tab w:val="left" w:pos="6840"/>
              </w:tabs>
              <w:spacing w:after="0"/>
              <w:contextualSpacing/>
              <w:rPr>
                <w:b/>
              </w:rPr>
            </w:pPr>
            <w:r>
              <w:rPr>
                <w:b/>
              </w:rPr>
              <w:t>Покупатель</w:t>
            </w:r>
          </w:p>
        </w:tc>
        <w:tc>
          <w:tcPr>
            <w:tcW w:w="4961" w:type="dxa"/>
          </w:tcPr>
          <w:p>
            <w:pPr>
              <w:tabs>
                <w:tab w:val="left" w:pos="6840"/>
              </w:tabs>
              <w:spacing w:after="0"/>
              <w:contextualSpacing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353" w:type="dxa"/>
          </w:tcPr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Большой театр Беларусь</w:t>
            </w:r>
          </w:p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220029, г. Минск, пл. Парижской Коммуны, 1</w:t>
            </w:r>
          </w:p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IBANBY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>
              <w:rPr>
                <w:rFonts w:ascii="Times New Roman" w:hAnsi="Times New Roman"/>
                <w:sz w:val="24"/>
                <w:szCs w:val="24"/>
              </w:rPr>
              <w:t>30150000045545100000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ЦБУ № 510 ОАО «АСБ«Беларусбанк»г. Минск,  </w:t>
            </w:r>
          </w:p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18</w:t>
            </w:r>
          </w:p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 191081322</w:t>
            </w:r>
          </w:p>
          <w:p>
            <w:pPr>
              <w:pStyle w:val="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603(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hd w:val="clear" w:color="auto" w:fill="FFFFFF"/>
              <w:tabs>
                <w:tab w:val="left" w:pos="5280"/>
              </w:tabs>
              <w:spacing w:after="0"/>
            </w:pPr>
            <w:r>
              <w:t>тел.факс 334-00-95</w:t>
            </w:r>
          </w:p>
          <w:p>
            <w:pPr>
              <w:shd w:val="clear" w:color="auto" w:fill="FFFFFF"/>
              <w:tabs>
                <w:tab w:val="left" w:pos="5280"/>
              </w:tabs>
              <w:spacing w:after="0"/>
            </w:pPr>
          </w:p>
          <w:p>
            <w:pPr>
              <w:shd w:val="clear" w:color="auto" w:fill="FFFFFF"/>
              <w:tabs>
                <w:tab w:val="left" w:pos="5280"/>
              </w:tabs>
              <w:spacing w:after="0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Генеральный директор</w:t>
            </w:r>
          </w:p>
          <w:p>
            <w:pPr>
              <w:shd w:val="clear" w:color="auto" w:fill="FFFFFF"/>
              <w:tabs>
                <w:tab w:val="left" w:pos="5280"/>
              </w:tabs>
              <w:spacing w:after="0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ab/>
            </w:r>
          </w:p>
          <w:p>
            <w:pPr>
              <w:shd w:val="clear" w:color="auto" w:fill="FFFFFF"/>
              <w:tabs>
                <w:tab w:val="left" w:pos="5280"/>
              </w:tabs>
              <w:spacing w:after="0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________________________А.Е.Петрович</w:t>
            </w:r>
          </w:p>
          <w:p>
            <w:pPr>
              <w:shd w:val="clear" w:color="auto" w:fill="FFFFFF"/>
              <w:tabs>
                <w:tab w:val="left" w:pos="5280"/>
              </w:tabs>
              <w:spacing w:after="0"/>
              <w:rPr>
                <w:bCs/>
                <w:color w:val="000000"/>
                <w:spacing w:val="-3"/>
              </w:rPr>
            </w:pPr>
          </w:p>
        </w:tc>
        <w:tc>
          <w:tcPr>
            <w:tcW w:w="4961" w:type="dxa"/>
          </w:tcPr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</w:pPr>
          </w:p>
          <w:p>
            <w:pPr>
              <w:spacing w:after="0"/>
              <w:contextualSpacing/>
              <w:jc w:val="both"/>
              <w:rPr>
                <w:b/>
              </w:rPr>
            </w:pPr>
          </w:p>
        </w:tc>
      </w:tr>
    </w:tbl>
    <w:p>
      <w:pPr>
        <w:tabs>
          <w:tab w:val="left" w:pos="6840"/>
        </w:tabs>
        <w:spacing w:after="0" w:line="240" w:lineRule="exact"/>
        <w:ind w:left="-567" w:right="-284"/>
        <w:jc w:val="center"/>
      </w:pPr>
    </w:p>
    <w:sectPr>
      <w:headerReference r:id="rId3" w:type="default"/>
      <w:headerReference r:id="rId4" w:type="even"/>
      <w:pgSz w:w="11906" w:h="16838"/>
      <w:pgMar w:top="1134" w:right="851" w:bottom="737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40C"/>
    <w:rsid w:val="0000652D"/>
    <w:rsid w:val="00011F8B"/>
    <w:rsid w:val="000141F6"/>
    <w:rsid w:val="0003708A"/>
    <w:rsid w:val="0007109D"/>
    <w:rsid w:val="000A230F"/>
    <w:rsid w:val="000A4A72"/>
    <w:rsid w:val="000C6AA4"/>
    <w:rsid w:val="000D4414"/>
    <w:rsid w:val="000D7371"/>
    <w:rsid w:val="000E3C5F"/>
    <w:rsid w:val="000F2A5B"/>
    <w:rsid w:val="000F2E00"/>
    <w:rsid w:val="00121775"/>
    <w:rsid w:val="00130CB4"/>
    <w:rsid w:val="00183657"/>
    <w:rsid w:val="001B431D"/>
    <w:rsid w:val="001B727B"/>
    <w:rsid w:val="001C7107"/>
    <w:rsid w:val="001C7647"/>
    <w:rsid w:val="0020168E"/>
    <w:rsid w:val="00231C03"/>
    <w:rsid w:val="00246B3B"/>
    <w:rsid w:val="00246BFB"/>
    <w:rsid w:val="00267487"/>
    <w:rsid w:val="002729EA"/>
    <w:rsid w:val="002A58F2"/>
    <w:rsid w:val="002B43BE"/>
    <w:rsid w:val="002B70E2"/>
    <w:rsid w:val="002D38F4"/>
    <w:rsid w:val="002E0083"/>
    <w:rsid w:val="002E1EEA"/>
    <w:rsid w:val="00336A3D"/>
    <w:rsid w:val="00345338"/>
    <w:rsid w:val="003978D5"/>
    <w:rsid w:val="003A1410"/>
    <w:rsid w:val="003C0041"/>
    <w:rsid w:val="003C3BF1"/>
    <w:rsid w:val="003E1C2B"/>
    <w:rsid w:val="004064C1"/>
    <w:rsid w:val="00420FA7"/>
    <w:rsid w:val="00435357"/>
    <w:rsid w:val="00471C75"/>
    <w:rsid w:val="00492480"/>
    <w:rsid w:val="004A2B71"/>
    <w:rsid w:val="004A340B"/>
    <w:rsid w:val="004A7B93"/>
    <w:rsid w:val="004E6661"/>
    <w:rsid w:val="00534B13"/>
    <w:rsid w:val="00554CA2"/>
    <w:rsid w:val="00560F91"/>
    <w:rsid w:val="00562ACD"/>
    <w:rsid w:val="00590F98"/>
    <w:rsid w:val="00597E81"/>
    <w:rsid w:val="005A24FE"/>
    <w:rsid w:val="005A434F"/>
    <w:rsid w:val="005A47CF"/>
    <w:rsid w:val="005A673D"/>
    <w:rsid w:val="005D4444"/>
    <w:rsid w:val="00616733"/>
    <w:rsid w:val="00621F6B"/>
    <w:rsid w:val="00624F7B"/>
    <w:rsid w:val="00626A43"/>
    <w:rsid w:val="006326E7"/>
    <w:rsid w:val="00640F30"/>
    <w:rsid w:val="00647449"/>
    <w:rsid w:val="00651AAC"/>
    <w:rsid w:val="00656581"/>
    <w:rsid w:val="00656F31"/>
    <w:rsid w:val="0066074F"/>
    <w:rsid w:val="00667495"/>
    <w:rsid w:val="006764D2"/>
    <w:rsid w:val="006814AB"/>
    <w:rsid w:val="00692AD1"/>
    <w:rsid w:val="00692CE4"/>
    <w:rsid w:val="0069641D"/>
    <w:rsid w:val="006C5192"/>
    <w:rsid w:val="00721312"/>
    <w:rsid w:val="00724441"/>
    <w:rsid w:val="00724F76"/>
    <w:rsid w:val="00731114"/>
    <w:rsid w:val="00732FB2"/>
    <w:rsid w:val="00737A9B"/>
    <w:rsid w:val="00765E76"/>
    <w:rsid w:val="00792A95"/>
    <w:rsid w:val="0079604E"/>
    <w:rsid w:val="007A4385"/>
    <w:rsid w:val="007F3917"/>
    <w:rsid w:val="007F66A9"/>
    <w:rsid w:val="008060A4"/>
    <w:rsid w:val="008165F1"/>
    <w:rsid w:val="00832E9A"/>
    <w:rsid w:val="008365C5"/>
    <w:rsid w:val="008451B2"/>
    <w:rsid w:val="0084628D"/>
    <w:rsid w:val="00860691"/>
    <w:rsid w:val="00862B38"/>
    <w:rsid w:val="008665FE"/>
    <w:rsid w:val="00867EB5"/>
    <w:rsid w:val="00875069"/>
    <w:rsid w:val="00881824"/>
    <w:rsid w:val="008818EF"/>
    <w:rsid w:val="008B05FF"/>
    <w:rsid w:val="008B1800"/>
    <w:rsid w:val="008B5849"/>
    <w:rsid w:val="008E782A"/>
    <w:rsid w:val="008E7D20"/>
    <w:rsid w:val="008F5EF8"/>
    <w:rsid w:val="00903787"/>
    <w:rsid w:val="009445BE"/>
    <w:rsid w:val="00967B45"/>
    <w:rsid w:val="00982008"/>
    <w:rsid w:val="00983BAD"/>
    <w:rsid w:val="00990649"/>
    <w:rsid w:val="009D0872"/>
    <w:rsid w:val="009D33C4"/>
    <w:rsid w:val="009F21D7"/>
    <w:rsid w:val="00A12A36"/>
    <w:rsid w:val="00A23E06"/>
    <w:rsid w:val="00A251BD"/>
    <w:rsid w:val="00A3046E"/>
    <w:rsid w:val="00A3119A"/>
    <w:rsid w:val="00A3406D"/>
    <w:rsid w:val="00A6059A"/>
    <w:rsid w:val="00A714A4"/>
    <w:rsid w:val="00A73C1B"/>
    <w:rsid w:val="00A73C6D"/>
    <w:rsid w:val="00A818BC"/>
    <w:rsid w:val="00A86725"/>
    <w:rsid w:val="00A93C75"/>
    <w:rsid w:val="00A967FC"/>
    <w:rsid w:val="00AA47F0"/>
    <w:rsid w:val="00AA5124"/>
    <w:rsid w:val="00AC0808"/>
    <w:rsid w:val="00AD5054"/>
    <w:rsid w:val="00AE634F"/>
    <w:rsid w:val="00AF7EE7"/>
    <w:rsid w:val="00B356B9"/>
    <w:rsid w:val="00B36568"/>
    <w:rsid w:val="00B40B34"/>
    <w:rsid w:val="00B479F5"/>
    <w:rsid w:val="00B54AF5"/>
    <w:rsid w:val="00BB03A7"/>
    <w:rsid w:val="00BE0C98"/>
    <w:rsid w:val="00C04674"/>
    <w:rsid w:val="00C222CB"/>
    <w:rsid w:val="00C23D66"/>
    <w:rsid w:val="00C37046"/>
    <w:rsid w:val="00C8440C"/>
    <w:rsid w:val="00C91A79"/>
    <w:rsid w:val="00CA6C70"/>
    <w:rsid w:val="00D20401"/>
    <w:rsid w:val="00D22434"/>
    <w:rsid w:val="00D30516"/>
    <w:rsid w:val="00D67EE8"/>
    <w:rsid w:val="00D73275"/>
    <w:rsid w:val="00D77AC7"/>
    <w:rsid w:val="00D862B6"/>
    <w:rsid w:val="00D90DD1"/>
    <w:rsid w:val="00DD5523"/>
    <w:rsid w:val="00DE35D8"/>
    <w:rsid w:val="00DE3FAC"/>
    <w:rsid w:val="00DF1A73"/>
    <w:rsid w:val="00DF3399"/>
    <w:rsid w:val="00E3289F"/>
    <w:rsid w:val="00E40F03"/>
    <w:rsid w:val="00E414DC"/>
    <w:rsid w:val="00EA732D"/>
    <w:rsid w:val="00ED3AC6"/>
    <w:rsid w:val="00EE5857"/>
    <w:rsid w:val="00EF1630"/>
    <w:rsid w:val="00F16897"/>
    <w:rsid w:val="00F31DBD"/>
    <w:rsid w:val="00F530B3"/>
    <w:rsid w:val="00F567AA"/>
    <w:rsid w:val="00F57B53"/>
    <w:rsid w:val="00F84981"/>
    <w:rsid w:val="00F851EA"/>
    <w:rsid w:val="00FA17EC"/>
    <w:rsid w:val="00FC7BDE"/>
    <w:rsid w:val="00FF33B5"/>
    <w:rsid w:val="0D3121FB"/>
    <w:rsid w:val="19263F40"/>
    <w:rsid w:val="221572CF"/>
    <w:rsid w:val="23050462"/>
    <w:rsid w:val="23356C53"/>
    <w:rsid w:val="24AC6B4B"/>
    <w:rsid w:val="33137360"/>
    <w:rsid w:val="347D6AC1"/>
    <w:rsid w:val="36C96DA6"/>
    <w:rsid w:val="4A2E6404"/>
    <w:rsid w:val="4D704506"/>
    <w:rsid w:val="4F8730E3"/>
    <w:rsid w:val="4F8F6CCB"/>
    <w:rsid w:val="50311956"/>
    <w:rsid w:val="52D0639F"/>
    <w:rsid w:val="6392432A"/>
    <w:rsid w:val="6A835103"/>
    <w:rsid w:val="6E333228"/>
    <w:rsid w:val="7D111551"/>
    <w:rsid w:val="7E605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Body Text Indent"/>
    <w:basedOn w:val="1"/>
    <w:qFormat/>
    <w:uiPriority w:val="0"/>
    <w:pPr>
      <w:ind w:firstLine="708"/>
    </w:pPr>
    <w:rPr>
      <w:szCs w:val="20"/>
    </w:rPr>
  </w:style>
  <w:style w:type="character" w:styleId="7">
    <w:name w:val="page number"/>
    <w:basedOn w:val="6"/>
    <w:qFormat/>
    <w:uiPriority w:val="0"/>
  </w:style>
  <w:style w:type="paragraph" w:styleId="9">
    <w:name w:val="No Spacing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6"/>
    <w:link w:val="3"/>
    <w:qFormat/>
    <w:uiPriority w:val="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uiPriority w:val="99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861</Words>
  <Characters>4914</Characters>
  <Lines>40</Lines>
  <Paragraphs>11</Paragraphs>
  <TotalTime>78</TotalTime>
  <ScaleCrop>false</ScaleCrop>
  <LinksUpToDate>false</LinksUpToDate>
  <CharactersWithSpaces>5764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2011-11-11T14:19:00Z</dcterms:created>
  <dc:creator>User</dc:creator>
  <cp:lastModifiedBy>Задерковский</cp:lastModifiedBy>
  <cp:lastPrinted>2021-02-12T14:05:42Z</cp:lastPrinted>
  <dcterms:modified xsi:type="dcterms:W3CDTF">2021-02-12T14:06:06Z</dcterms:modified>
  <dc:title>                                       Примерный договор поставки,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