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328/25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328/25-ЭА «Расходные материалы для автоматического биохимического анализатора Architect c  (ABBOT Laboratories) для ГУ «РНПЦ РМиЭЧ» (лот № 9)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328/25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30 июня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328/25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328/25-ЭА «Расходные материалы для автоматического биохимического анализатора Architect c  (ABBOT Laboratories) для ГУ «РНПЦ РМиЭЧ» (лот № 9)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328/25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30 июня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328/25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328/25-ЭА «Расходные материалы для автоматического биохимического анализатора Architect c  (ABBOT Laboratories) для ГУ «РНПЦ РМиЭЧ» (лот № 9)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328/25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30 июня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328/25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328/25-ЭА «Расходные материалы для автоматического биохимического анализатора Architect c  (ABBOT Laboratories) для ГУ «РНПЦ РМиЭЧ» (лот № 9)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328/25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30 июня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МТ 328/25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г.Гомель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г.Гомель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МТ 328/25-ЭА «Расходные материалы для автоматического биохимического анализатора Architect c  (ABBOT Laboratories) для ГУ «РНПЦ РМиЭЧ» (лот № 9)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МТ 328/25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30 июня 2025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г.Гомель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246007, Республика Беларусь, Гомельская область, г.Гомель, ул.Чонгарской дивизии, д.14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